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A75" w:rsidRPr="008E6C73" w:rsidRDefault="00F54585">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-457200</wp:posOffset>
                </wp:positionV>
                <wp:extent cx="5753100" cy="558800"/>
                <wp:effectExtent l="9525" t="9525" r="9525" b="12700"/>
                <wp:wrapTight wrapText="bothSides">
                  <wp:wrapPolygon edited="0">
                    <wp:start x="1216" y="0"/>
                    <wp:lineTo x="393" y="368"/>
                    <wp:lineTo x="-36" y="2185"/>
                    <wp:lineTo x="-36" y="19391"/>
                    <wp:lineTo x="36" y="21232"/>
                    <wp:lineTo x="72" y="21232"/>
                    <wp:lineTo x="21564" y="21232"/>
                    <wp:lineTo x="21636" y="18679"/>
                    <wp:lineTo x="21564" y="17575"/>
                    <wp:lineTo x="21421" y="17206"/>
                    <wp:lineTo x="21636" y="14654"/>
                    <wp:lineTo x="21636" y="7315"/>
                    <wp:lineTo x="21385" y="5866"/>
                    <wp:lineTo x="20777" y="5866"/>
                    <wp:lineTo x="20742" y="0"/>
                    <wp:lineTo x="1216" y="0"/>
                  </wp:wrapPolygon>
                </wp:wrapTight>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3100" cy="558800"/>
                        </a:xfrm>
                        <a:prstGeom prst="rect">
                          <a:avLst/>
                        </a:prstGeom>
                        <a:extLst>
                          <a:ext uri="{AF507438-7753-43E0-B8FC-AC1667EBCBE1}">
                            <a14:hiddenEffects xmlns:a14="http://schemas.microsoft.com/office/drawing/2010/main">
                              <a:effectLst/>
                            </a14:hiddenEffects>
                          </a:ext>
                        </a:extLst>
                      </wps:spPr>
                      <wps:txbx>
                        <w:txbxContent>
                          <w:p w:rsidR="00F54585" w:rsidRDefault="00F54585" w:rsidP="00F54585">
                            <w:pPr>
                              <w:pStyle w:val="NormalWeb"/>
                              <w:spacing w:before="2" w:after="2"/>
                              <w:jc w:val="center"/>
                              <w:rPr>
                                <w:sz w:val="24"/>
                                <w:szCs w:val="24"/>
                              </w:rPr>
                            </w:pPr>
                            <w:r>
                              <w:rPr>
                                <w:rFonts w:ascii="Calibri" w:hAnsi="Calibri" w:cs="Calibri"/>
                                <w:b/>
                                <w:bCs/>
                                <w:color w:val="EAEAEA"/>
                                <w:sz w:val="72"/>
                                <w:szCs w:val="72"/>
                                <w14:textOutline w14:w="10541" w14:cap="flat" w14:cmpd="sng" w14:algn="ctr">
                                  <w14:solidFill>
                                    <w14:srgbClr w14:val="5A5A5A"/>
                                  </w14:solidFill>
                                  <w14:prstDash w14:val="solid"/>
                                  <w14:round/>
                                </w14:textOutline>
                                <w14:textFill>
                                  <w14:gradFill>
                                    <w14:gsLst>
                                      <w14:gs w14:pos="0">
                                        <w14:srgbClr w14:val="EAEAEA">
                                          <w14:tint w14:val="16471"/>
                                        </w14:srgbClr>
                                      </w14:gs>
                                      <w14:gs w14:pos="50000">
                                        <w14:srgbClr w14:val="808080"/>
                                      </w14:gs>
                                      <w14:gs w14:pos="100000">
                                        <w14:srgbClr w14:val="EAEAEA">
                                          <w14:tint w14:val="16471"/>
                                        </w14:srgbClr>
                                      </w14:gs>
                                    </w14:gsLst>
                                    <w14:lin w14:ang="5400000" w14:scaled="1"/>
                                  </w14:gradFill>
                                </w14:textFill>
                              </w:rPr>
                              <w:t>Silver Medicine Rotation Guide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margin-left:0;margin-top:-36pt;width:453pt;height: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" filled="f" stroked="f">
                <o:lock v:ext="edit" shapetype="t"/>
                <v:textbox style="mso-fit-shape-to-text:t">
                  <w:txbxContent>
                    <w:p w:rsidR="00F54585" w:rsidRDefault="00F54585" w:rsidP="00F54585">
                      <w:pPr>
                        <w:pStyle w:val="NormalWeb"/>
                        <w:spacing w:before="2" w:after="2"/>
                        <w:jc w:val="center"/>
                        <w:rPr>
                          <w:sz w:val="24"/>
                          <w:szCs w:val="24"/>
                        </w:rPr>
                      </w:pPr>
                      <w:r>
                        <w:rPr>
                          <w:rFonts w:ascii="Calibri" w:hAnsi="Calibri" w:cs="Calibri"/>
                          <w:b/>
                          <w:bCs/>
                          <w:color w:val="EAEAEA"/>
                          <w:sz w:val="72"/>
                          <w:szCs w:val="72"/>
                          <w14:textOutline w14:w="10541" w14:cap="flat" w14:cmpd="sng" w14:algn="ctr">
                            <w14:solidFill>
                              <w14:srgbClr w14:val="5A5A5A"/>
                            </w14:solidFill>
                            <w14:prstDash w14:val="solid"/>
                            <w14:round/>
                          </w14:textOutline>
                          <w14:textFill>
                            <w14:gradFill>
                              <w14:gsLst>
                                <w14:gs w14:pos="0">
                                  <w14:srgbClr w14:val="EAEAEA">
                                    <w14:tint w14:val="16471"/>
                                  </w14:srgbClr>
                                </w14:gs>
                                <w14:gs w14:pos="50000">
                                  <w14:srgbClr w14:val="808080"/>
                                </w14:gs>
                                <w14:gs w14:pos="100000">
                                  <w14:srgbClr w14:val="EAEAEA">
                                    <w14:tint w14:val="16471"/>
                                  </w14:srgbClr>
                                </w14:gs>
                              </w14:gsLst>
                              <w14:lin w14:ang="5400000" w14:scaled="1"/>
                            </w14:gradFill>
                          </w14:textFill>
                        </w:rPr>
                        <w:t>Silver Medicine Rotation Guide</w:t>
                      </w:r>
                    </w:p>
                  </w:txbxContent>
                </v:textbox>
                <w10:wrap type="tight"/>
              </v:shape>
            </w:pict>
          </mc:Fallback>
        </mc:AlternateContent>
      </w:r>
    </w:p>
    <w:p w:rsidR="004F6FBF" w:rsidRPr="008E6C73" w:rsidRDefault="00483A75" w:rsidP="00CD204D">
      <w:pPr>
        <w:jc w:val="both"/>
      </w:pPr>
      <w:r w:rsidRPr="008E6C73">
        <w:rPr>
          <w:b/>
        </w:rPr>
        <w:t>Introduction to the Rotation</w:t>
      </w:r>
      <w:r w:rsidRPr="008E6C73">
        <w:t xml:space="preserve">: </w:t>
      </w:r>
    </w:p>
    <w:p w:rsidR="00CD204D" w:rsidRPr="008E6C73" w:rsidRDefault="00B97D2D" w:rsidP="00CD204D">
      <w:pPr>
        <w:jc w:val="both"/>
      </w:pPr>
      <w:r w:rsidRPr="008E6C73">
        <w:t xml:space="preserve">Silver Medicine </w:t>
      </w:r>
      <w:r w:rsidR="004F6FBF" w:rsidRPr="008E6C73">
        <w:t xml:space="preserve">is a service at Mount Sinai run by medicine residents to serve patients admitted </w:t>
      </w:r>
      <w:r w:rsidR="00CD204D" w:rsidRPr="008E6C73">
        <w:t xml:space="preserve">to medicine </w:t>
      </w:r>
      <w:r w:rsidR="004F6FBF" w:rsidRPr="008E6C73">
        <w:t xml:space="preserve">who are HIV positive. The attendings are ID </w:t>
      </w:r>
      <w:r w:rsidR="00A71F60">
        <w:t>physicians</w:t>
      </w:r>
      <w:r w:rsidR="006C6B45">
        <w:t xml:space="preserve"> and/or HIV specialists</w:t>
      </w:r>
      <w:r w:rsidR="004F6FBF" w:rsidRPr="008E6C73">
        <w:t xml:space="preserve">. In addition, there is </w:t>
      </w:r>
      <w:r w:rsidR="006C6B45">
        <w:t xml:space="preserve">often </w:t>
      </w:r>
      <w:r w:rsidR="004F6FBF" w:rsidRPr="008E6C73">
        <w:t xml:space="preserve">an ID fellow on service, </w:t>
      </w:r>
      <w:r w:rsidR="00CD204D" w:rsidRPr="008E6C73">
        <w:t xml:space="preserve">acting </w:t>
      </w:r>
      <w:r w:rsidR="004F6FBF" w:rsidRPr="008E6C73">
        <w:t xml:space="preserve">as another </w:t>
      </w:r>
      <w:r w:rsidR="00311955">
        <w:t>educational</w:t>
      </w:r>
      <w:r w:rsidR="006C6B45">
        <w:t xml:space="preserve"> </w:t>
      </w:r>
      <w:r w:rsidR="004F6FBF" w:rsidRPr="008E6C73">
        <w:t>resou</w:t>
      </w:r>
      <w:r w:rsidR="00A71F60">
        <w:t>rce for residents and to jointly follow a cohort of patients</w:t>
      </w:r>
      <w:r w:rsidR="00CD204D" w:rsidRPr="008E6C73">
        <w:t>. Patients are admitted to S</w:t>
      </w:r>
      <w:r w:rsidR="004F6FBF" w:rsidRPr="008E6C73">
        <w:t>i</w:t>
      </w:r>
      <w:r w:rsidR="00CD204D" w:rsidRPr="008E6C73">
        <w:t xml:space="preserve">lver Medicine for a host of reasons, which may or may not be related to their HIV. </w:t>
      </w:r>
    </w:p>
    <w:p w:rsidR="00CD204D" w:rsidRPr="008E6C73" w:rsidRDefault="00CD204D" w:rsidP="00CD204D">
      <w:pPr>
        <w:jc w:val="both"/>
      </w:pPr>
    </w:p>
    <w:p w:rsidR="00CD204D" w:rsidRPr="008E6C73" w:rsidRDefault="00CD204D" w:rsidP="00CD204D">
      <w:pPr>
        <w:jc w:val="both"/>
      </w:pPr>
      <w:r w:rsidRPr="008E6C73">
        <w:t xml:space="preserve">Additionally, </w:t>
      </w:r>
      <w:r w:rsidR="006C6B45">
        <w:t>starting July 1</w:t>
      </w:r>
      <w:r w:rsidR="006C6B45" w:rsidRPr="006C6B45">
        <w:rPr>
          <w:vertAlign w:val="superscript"/>
        </w:rPr>
        <w:t>st</w:t>
      </w:r>
      <w:r w:rsidR="006C6B45">
        <w:t xml:space="preserve"> 2018, </w:t>
      </w:r>
      <w:r w:rsidRPr="008E6C73">
        <w:t>the</w:t>
      </w:r>
      <w:r w:rsidR="006C6B45">
        <w:t xml:space="preserve"> service will be accepting teaching </w:t>
      </w:r>
      <w:r w:rsidRPr="008E6C73">
        <w:t>patients from the G</w:t>
      </w:r>
      <w:r w:rsidR="00A71F60">
        <w:t>eriatric Service. These patient</w:t>
      </w:r>
      <w:r w:rsidRPr="008E6C73">
        <w:t xml:space="preserve">s will have </w:t>
      </w:r>
      <w:r w:rsidR="006C6B45">
        <w:t>a separate Geriatric attending and Geriatric fellow</w:t>
      </w:r>
      <w:r w:rsidRPr="008E6C73">
        <w:t xml:space="preserve">. </w:t>
      </w:r>
    </w:p>
    <w:p w:rsidR="00CD204D" w:rsidRPr="008E6C73" w:rsidRDefault="00CD204D" w:rsidP="00CD204D">
      <w:pPr>
        <w:jc w:val="both"/>
      </w:pPr>
    </w:p>
    <w:p w:rsidR="00CD204D" w:rsidRPr="008E6C73" w:rsidRDefault="00CD204D" w:rsidP="00CD204D">
      <w:pPr>
        <w:jc w:val="both"/>
      </w:pPr>
      <w:r w:rsidRPr="008E6C73">
        <w:rPr>
          <w:u w:val="single"/>
        </w:rPr>
        <w:t>Basic Layout of the Day</w:t>
      </w:r>
      <w:r w:rsidRPr="008E6C73">
        <w:t xml:space="preserve">: </w:t>
      </w:r>
    </w:p>
    <w:p w:rsidR="00CD204D" w:rsidRPr="008E6C73" w:rsidRDefault="00CD204D" w:rsidP="00CD204D">
      <w:pPr>
        <w:jc w:val="both"/>
      </w:pPr>
      <w:r w:rsidRPr="008E6C73">
        <w:t>6:30 am: Interns get sign out from the night intern and pre-round on patients</w:t>
      </w:r>
    </w:p>
    <w:p w:rsidR="00CD204D" w:rsidRPr="008E6C73" w:rsidRDefault="00CD204D" w:rsidP="00CD204D">
      <w:pPr>
        <w:jc w:val="both"/>
      </w:pPr>
      <w:r w:rsidRPr="008E6C73">
        <w:t>7:3</w:t>
      </w:r>
      <w:r w:rsidR="006C6B45">
        <w:t xml:space="preserve">0 am: Residents and interns </w:t>
      </w:r>
      <w:r w:rsidRPr="008E6C73">
        <w:t>round together</w:t>
      </w:r>
    </w:p>
    <w:p w:rsidR="00CD204D" w:rsidRPr="008E6C73" w:rsidRDefault="00CD204D" w:rsidP="00CD204D">
      <w:pPr>
        <w:jc w:val="both"/>
      </w:pPr>
      <w:r w:rsidRPr="008E6C73">
        <w:t xml:space="preserve">8-9:30 am: </w:t>
      </w:r>
      <w:r w:rsidR="006C6B45">
        <w:t>Night admissions presented to attending and team,</w:t>
      </w:r>
      <w:r w:rsidRPr="008E6C73">
        <w:t xml:space="preserve"> rounds with </w:t>
      </w:r>
      <w:r w:rsidR="006C6B45">
        <w:t xml:space="preserve">HIV/ID attending </w:t>
      </w:r>
      <w:r w:rsidRPr="008E6C73">
        <w:t>on HIV patients</w:t>
      </w:r>
    </w:p>
    <w:p w:rsidR="00CD204D" w:rsidRPr="008E6C73" w:rsidRDefault="00CD204D" w:rsidP="00CD204D">
      <w:pPr>
        <w:jc w:val="both"/>
      </w:pPr>
      <w:r w:rsidRPr="008E6C73">
        <w:t>9:30 – 10</w:t>
      </w:r>
      <w:r w:rsidR="006C6B45">
        <w:t xml:space="preserve"> </w:t>
      </w:r>
      <w:r w:rsidRPr="008E6C73">
        <w:t>am: Rounds with Geriatric Team on Geriatric patients</w:t>
      </w:r>
    </w:p>
    <w:p w:rsidR="006C6B45" w:rsidRDefault="00CD204D" w:rsidP="00CD204D">
      <w:pPr>
        <w:jc w:val="both"/>
      </w:pPr>
      <w:r w:rsidRPr="008E6C73">
        <w:t>10-11</w:t>
      </w:r>
      <w:r w:rsidR="006C6B45">
        <w:t xml:space="preserve"> </w:t>
      </w:r>
      <w:r w:rsidRPr="008E6C73">
        <w:t>am:</w:t>
      </w:r>
      <w:r w:rsidR="006C6B45">
        <w:t xml:space="preserve"> Residents have morning report</w:t>
      </w:r>
    </w:p>
    <w:p w:rsidR="00CD204D" w:rsidRPr="008E6C73" w:rsidRDefault="006C6B45" w:rsidP="00CD204D">
      <w:pPr>
        <w:jc w:val="both"/>
      </w:pPr>
      <w:r>
        <w:t>10-10:30 am: I</w:t>
      </w:r>
      <w:r w:rsidR="00CD204D" w:rsidRPr="008E6C73">
        <w:t>nterns</w:t>
      </w:r>
      <w:r>
        <w:t xml:space="preserve"> and attending</w:t>
      </w:r>
      <w:r w:rsidR="00CD204D" w:rsidRPr="008E6C73">
        <w:t xml:space="preserve"> go to social work rounds (see below)</w:t>
      </w:r>
    </w:p>
    <w:p w:rsidR="00CD204D" w:rsidRPr="008E6C73" w:rsidRDefault="00CD204D" w:rsidP="00CD204D">
      <w:pPr>
        <w:jc w:val="both"/>
      </w:pPr>
      <w:r w:rsidRPr="008E6C73">
        <w:t>11am-Noon: Time to work</w:t>
      </w:r>
    </w:p>
    <w:p w:rsidR="00CD204D" w:rsidRPr="008E6C73" w:rsidRDefault="00CD204D" w:rsidP="00CD204D">
      <w:pPr>
        <w:jc w:val="both"/>
      </w:pPr>
      <w:r w:rsidRPr="008E6C73">
        <w:t>Noon: Noon conference</w:t>
      </w:r>
    </w:p>
    <w:p w:rsidR="00483A75" w:rsidRPr="008E6C73" w:rsidRDefault="00CD204D" w:rsidP="00CD204D">
      <w:pPr>
        <w:jc w:val="both"/>
      </w:pPr>
      <w:r w:rsidRPr="008E6C73">
        <w:t xml:space="preserve">1pm-3pm/8pm: Time to work. The </w:t>
      </w:r>
      <w:r w:rsidR="006C6B45">
        <w:t>HIV/</w:t>
      </w:r>
      <w:r w:rsidRPr="008E6C73">
        <w:t xml:space="preserve">ID attending </w:t>
      </w:r>
      <w:r w:rsidR="006C6B45">
        <w:t xml:space="preserve">and fellow, if present, aim for afternoon teaching rounds twice per week. </w:t>
      </w:r>
      <w:r w:rsidRPr="008E6C73">
        <w:t xml:space="preserve"> </w:t>
      </w:r>
    </w:p>
    <w:p w:rsidR="00483A75" w:rsidRPr="008E6C73" w:rsidRDefault="00483A75" w:rsidP="00CD204D">
      <w:pPr>
        <w:jc w:val="both"/>
      </w:pPr>
    </w:p>
    <w:p w:rsidR="00483A75" w:rsidRPr="008E6C73" w:rsidRDefault="00483A75" w:rsidP="00CD204D">
      <w:pPr>
        <w:jc w:val="both"/>
      </w:pPr>
      <w:r w:rsidRPr="008E6C73">
        <w:rPr>
          <w:b/>
        </w:rPr>
        <w:t>Rotation Goals</w:t>
      </w:r>
      <w:r w:rsidRPr="008E6C73">
        <w:t xml:space="preserve">: </w:t>
      </w:r>
    </w:p>
    <w:p w:rsidR="007F7D4F" w:rsidRPr="008E6C73" w:rsidRDefault="007F7D4F" w:rsidP="007F7D4F">
      <w:pPr>
        <w:pStyle w:val="ListParagraph"/>
        <w:numPr>
          <w:ilvl w:val="0"/>
          <w:numId w:val="12"/>
        </w:numPr>
        <w:jc w:val="both"/>
      </w:pPr>
      <w:r w:rsidRPr="008E6C73">
        <w:t>Become comfortable managing medicine patients with HIV</w:t>
      </w:r>
    </w:p>
    <w:p w:rsidR="006C6B45" w:rsidRDefault="007F7D4F" w:rsidP="007F7D4F">
      <w:pPr>
        <w:pStyle w:val="ListParagraph"/>
        <w:numPr>
          <w:ilvl w:val="0"/>
          <w:numId w:val="12"/>
        </w:numPr>
        <w:jc w:val="both"/>
      </w:pPr>
      <w:r w:rsidRPr="008E6C73">
        <w:t xml:space="preserve">Become familiar with common antiretroviral medications and </w:t>
      </w:r>
      <w:r w:rsidR="006C6B45">
        <w:t>treatment regimens</w:t>
      </w:r>
    </w:p>
    <w:p w:rsidR="007F7D4F" w:rsidRPr="008E6C73" w:rsidRDefault="006C6B45" w:rsidP="007F7D4F">
      <w:pPr>
        <w:pStyle w:val="ListParagraph"/>
        <w:numPr>
          <w:ilvl w:val="0"/>
          <w:numId w:val="12"/>
        </w:numPr>
        <w:jc w:val="both"/>
      </w:pPr>
      <w:r>
        <w:t>Learn how to manage opportunistic infections seen in the HIV population</w:t>
      </w:r>
    </w:p>
    <w:p w:rsidR="007F7D4F" w:rsidRPr="008E6C73" w:rsidRDefault="006C6B45" w:rsidP="007F7D4F">
      <w:pPr>
        <w:pStyle w:val="ListParagraph"/>
        <w:numPr>
          <w:ilvl w:val="0"/>
          <w:numId w:val="12"/>
        </w:numPr>
        <w:jc w:val="both"/>
      </w:pPr>
      <w:r>
        <w:t>Gain an appreciation for management of patients with complex psychosocial issues</w:t>
      </w:r>
    </w:p>
    <w:p w:rsidR="00483A75" w:rsidRPr="008E6C73" w:rsidRDefault="007F7D4F" w:rsidP="007F7D4F">
      <w:pPr>
        <w:pStyle w:val="ListParagraph"/>
        <w:jc w:val="both"/>
      </w:pPr>
      <w:r w:rsidRPr="008E6C73">
        <w:t xml:space="preserve"> </w:t>
      </w:r>
    </w:p>
    <w:p w:rsidR="00483A75" w:rsidRPr="008E6C73" w:rsidRDefault="00483A75" w:rsidP="00CD204D">
      <w:pPr>
        <w:jc w:val="both"/>
      </w:pPr>
      <w:r w:rsidRPr="008E6C73">
        <w:rPr>
          <w:b/>
        </w:rPr>
        <w:t>Rotation Tips</w:t>
      </w:r>
      <w:r w:rsidRPr="008E6C73">
        <w:t xml:space="preserve">: </w:t>
      </w:r>
    </w:p>
    <w:p w:rsidR="00CD204D" w:rsidRPr="008E6C73" w:rsidRDefault="004F6FBF" w:rsidP="00CD204D">
      <w:pPr>
        <w:jc w:val="both"/>
      </w:pPr>
      <w:r w:rsidRPr="008E6C73">
        <w:t xml:space="preserve">Social Workers: </w:t>
      </w:r>
      <w:r w:rsidR="00A71F60">
        <w:t xml:space="preserve">The HIV social workers are </w:t>
      </w:r>
      <w:r w:rsidRPr="008E6C73">
        <w:t xml:space="preserve">Erin </w:t>
      </w:r>
      <w:r w:rsidR="006C6B45">
        <w:t xml:space="preserve">Flynn </w:t>
      </w:r>
      <w:r w:rsidRPr="008E6C73">
        <w:t>(347-932-3343) a</w:t>
      </w:r>
      <w:r w:rsidR="006C6B45">
        <w:t>nd Adelyn Melnikoff</w:t>
      </w:r>
      <w:r w:rsidRPr="008E6C73">
        <w:t xml:space="preserve"> (646-7887-79</w:t>
      </w:r>
      <w:r w:rsidR="006C6B45">
        <w:t>99). We round with Erin and Adelyn</w:t>
      </w:r>
      <w:r w:rsidRPr="008E6C73">
        <w:t xml:space="preserve"> in person every day. They are amazingly helpful with our patients. Please keep in mind to ask every patient about home services – many HIV patients qualify for services because of their HIV </w:t>
      </w:r>
      <w:r w:rsidRPr="008E6C73">
        <w:lastRenderedPageBreak/>
        <w:t>status, so patients may have services even if you don’t expect them to!</w:t>
      </w:r>
      <w:r w:rsidR="00CD204D" w:rsidRPr="008E6C73">
        <w:t xml:space="preserve"> Please also make note if patients are on dialysis and ma</w:t>
      </w:r>
      <w:r w:rsidR="006C6B45">
        <w:t>ke sure to inform Erin and Adelyn.</w:t>
      </w:r>
      <w:r w:rsidR="00CD204D" w:rsidRPr="008E6C73">
        <w:t xml:space="preserve"> </w:t>
      </w:r>
    </w:p>
    <w:p w:rsidR="00CD204D" w:rsidRPr="008E6C73" w:rsidRDefault="00CD204D" w:rsidP="00CD204D">
      <w:pPr>
        <w:jc w:val="both"/>
      </w:pPr>
    </w:p>
    <w:p w:rsidR="004F6FBF" w:rsidRPr="008E6C73" w:rsidRDefault="00CD204D" w:rsidP="00CD204D">
      <w:pPr>
        <w:jc w:val="both"/>
      </w:pPr>
      <w:r w:rsidRPr="008E6C73">
        <w:t xml:space="preserve">Interns may need to </w:t>
      </w:r>
      <w:r w:rsidR="006C6B45">
        <w:t xml:space="preserve">participate in floor based interdisciplinary rounds as well (these take place on 10C, 10W, 9W and by phone with KCC 5). </w:t>
      </w:r>
      <w:r w:rsidRPr="008E6C73">
        <w:t xml:space="preserve">Please ask your attending on the first day of service how they would like </w:t>
      </w:r>
      <w:r w:rsidR="00311955">
        <w:t xml:space="preserve">these IDR </w:t>
      </w:r>
      <w:r w:rsidR="006C6B45">
        <w:t xml:space="preserve">rounds to run – the attending may go themselves to represent the team following SW rounds. </w:t>
      </w:r>
    </w:p>
    <w:p w:rsidR="004F6FBF" w:rsidRDefault="004F6FBF" w:rsidP="00CD204D">
      <w:pPr>
        <w:jc w:val="both"/>
      </w:pPr>
    </w:p>
    <w:p w:rsidR="00F54585" w:rsidRPr="00F54585" w:rsidRDefault="00F54585" w:rsidP="00F54585">
      <w:pPr>
        <w:pStyle w:val="NormalWeb"/>
        <w:shd w:val="clear" w:color="auto" w:fill="FFFFFF"/>
        <w:spacing w:before="2" w:after="2"/>
        <w:rPr>
          <w:rFonts w:ascii="Cambria" w:hAnsi="Cambria" w:cs="Calibri"/>
          <w:color w:val="000000"/>
          <w:sz w:val="24"/>
          <w:szCs w:val="24"/>
        </w:rPr>
      </w:pPr>
      <w:r w:rsidRPr="00F54585">
        <w:rPr>
          <w:rFonts w:ascii="Cambria" w:hAnsi="Cambria" w:cs="Calibri"/>
          <w:color w:val="000000"/>
          <w:sz w:val="24"/>
          <w:szCs w:val="24"/>
        </w:rPr>
        <w:t>For discharge follow up for patients on the Sil</w:t>
      </w:r>
      <w:bookmarkStart w:id="0" w:name="_GoBack"/>
      <w:bookmarkEnd w:id="0"/>
      <w:r w:rsidRPr="00F54585">
        <w:rPr>
          <w:rFonts w:ascii="Cambria" w:hAnsi="Cambria" w:cs="Calibri"/>
          <w:color w:val="000000"/>
          <w:sz w:val="24"/>
          <w:szCs w:val="24"/>
        </w:rPr>
        <w:t>ver service, email is an effective way to ensure patients are scheduled at our Mount Sinai clinics. </w:t>
      </w:r>
    </w:p>
    <w:p w:rsidR="00F54585" w:rsidRPr="00F54585" w:rsidRDefault="00F54585" w:rsidP="00F54585">
      <w:pPr>
        <w:pStyle w:val="NormalWeb"/>
        <w:shd w:val="clear" w:color="auto" w:fill="FFFFFF"/>
        <w:spacing w:before="2" w:after="2"/>
        <w:rPr>
          <w:rFonts w:ascii="Cambria" w:hAnsi="Cambria" w:cs="Calibri"/>
          <w:color w:val="000000"/>
          <w:sz w:val="24"/>
          <w:szCs w:val="24"/>
        </w:rPr>
      </w:pPr>
    </w:p>
    <w:p w:rsidR="00F54585" w:rsidRPr="00F54585" w:rsidRDefault="00F54585" w:rsidP="00F54585">
      <w:pPr>
        <w:pStyle w:val="NormalWeb"/>
        <w:shd w:val="clear" w:color="auto" w:fill="FFFFFF"/>
        <w:spacing w:before="2" w:after="2"/>
        <w:rPr>
          <w:rFonts w:ascii="Cambria" w:hAnsi="Cambria" w:cs="Calibri"/>
          <w:color w:val="000000"/>
          <w:sz w:val="24"/>
          <w:szCs w:val="24"/>
        </w:rPr>
      </w:pPr>
      <w:r w:rsidRPr="00F54585">
        <w:rPr>
          <w:rFonts w:ascii="Cambria" w:hAnsi="Cambria" w:cs="Calibri"/>
          <w:color w:val="000000"/>
          <w:sz w:val="24"/>
          <w:szCs w:val="24"/>
        </w:rPr>
        <w:t>For Jack martin appointments, please email: </w:t>
      </w:r>
    </w:p>
    <w:p w:rsidR="00F54585" w:rsidRPr="00F54585" w:rsidRDefault="00F54585" w:rsidP="00F54585">
      <w:pPr>
        <w:pStyle w:val="NormalWeb"/>
        <w:shd w:val="clear" w:color="auto" w:fill="FFFFFF"/>
        <w:spacing w:before="2" w:after="2"/>
        <w:rPr>
          <w:rFonts w:ascii="Cambria" w:hAnsi="Cambria" w:cs="Calibri"/>
          <w:color w:val="000000"/>
          <w:sz w:val="24"/>
          <w:szCs w:val="24"/>
        </w:rPr>
      </w:pPr>
      <w:r w:rsidRPr="00F54585">
        <w:rPr>
          <w:rFonts w:ascii="Cambria" w:hAnsi="Cambria" w:cs="Calibri"/>
          <w:color w:val="000000"/>
          <w:sz w:val="24"/>
          <w:szCs w:val="24"/>
        </w:rPr>
        <w:t># </w:t>
      </w:r>
      <w:hyperlink r:id="rId8" w:tgtFrame="_blank" w:history="1">
        <w:r w:rsidRPr="00F54585">
          <w:rPr>
            <w:rStyle w:val="Hyperlink"/>
            <w:rFonts w:ascii="Cambria" w:hAnsi="Cambria" w:cs="Calibri"/>
            <w:color w:val="1155CC"/>
            <w:sz w:val="24"/>
            <w:szCs w:val="24"/>
          </w:rPr>
          <w:t>jackmartinappointments@mountsinai.org</w:t>
        </w:r>
      </w:hyperlink>
    </w:p>
    <w:p w:rsidR="00F54585" w:rsidRPr="00F54585" w:rsidRDefault="00F54585" w:rsidP="00F54585">
      <w:pPr>
        <w:pStyle w:val="NormalWeb"/>
        <w:shd w:val="clear" w:color="auto" w:fill="FFFFFF"/>
        <w:spacing w:before="2" w:after="2"/>
        <w:rPr>
          <w:rFonts w:ascii="Cambria" w:hAnsi="Cambria" w:cs="Calibri"/>
          <w:color w:val="000000"/>
          <w:sz w:val="24"/>
          <w:szCs w:val="24"/>
        </w:rPr>
      </w:pPr>
    </w:p>
    <w:p w:rsidR="00F54585" w:rsidRPr="00F54585" w:rsidRDefault="00F54585" w:rsidP="00F54585">
      <w:pPr>
        <w:pStyle w:val="NormalWeb"/>
        <w:shd w:val="clear" w:color="auto" w:fill="FFFFFF"/>
        <w:spacing w:before="2" w:after="2"/>
        <w:rPr>
          <w:rFonts w:ascii="Cambria" w:hAnsi="Cambria" w:cs="Calibri"/>
          <w:color w:val="000000"/>
          <w:sz w:val="24"/>
          <w:szCs w:val="24"/>
        </w:rPr>
      </w:pPr>
      <w:r w:rsidRPr="00F54585">
        <w:rPr>
          <w:rFonts w:ascii="Cambria" w:hAnsi="Cambria" w:cs="Calibri"/>
          <w:color w:val="000000"/>
          <w:sz w:val="24"/>
          <w:szCs w:val="24"/>
        </w:rPr>
        <w:t>For appointments at the "downtown," Greenwich Village location, please email:</w:t>
      </w:r>
    </w:p>
    <w:p w:rsidR="00F54585" w:rsidRPr="00F54585" w:rsidRDefault="00F54585" w:rsidP="00F54585">
      <w:pPr>
        <w:pStyle w:val="NormalWeb"/>
        <w:shd w:val="clear" w:color="auto" w:fill="FFFFFF"/>
        <w:spacing w:before="2" w:after="2"/>
        <w:rPr>
          <w:rFonts w:ascii="Cambria" w:hAnsi="Cambria" w:cs="Calibri"/>
          <w:color w:val="000000"/>
          <w:sz w:val="24"/>
          <w:szCs w:val="24"/>
        </w:rPr>
      </w:pPr>
      <w:r w:rsidRPr="00F54585">
        <w:rPr>
          <w:rFonts w:ascii="Cambria" w:hAnsi="Cambria" w:cs="Calibri"/>
          <w:color w:val="000000"/>
          <w:sz w:val="24"/>
          <w:szCs w:val="24"/>
        </w:rPr>
        <w:t>#</w:t>
      </w:r>
      <w:hyperlink r:id="rId9" w:tgtFrame="_blank" w:history="1">
        <w:r w:rsidRPr="00F54585">
          <w:rPr>
            <w:rStyle w:val="Hyperlink"/>
            <w:rFonts w:ascii="Cambria" w:hAnsi="Cambria" w:cs="Calibri"/>
            <w:color w:val="1155CC"/>
            <w:sz w:val="24"/>
            <w:szCs w:val="24"/>
          </w:rPr>
          <w:t>GVadmin@mountsinai.org</w:t>
        </w:r>
      </w:hyperlink>
    </w:p>
    <w:p w:rsidR="00F54585" w:rsidRPr="008E6C73" w:rsidRDefault="00F54585" w:rsidP="00CD204D">
      <w:pPr>
        <w:jc w:val="both"/>
      </w:pPr>
    </w:p>
    <w:p w:rsidR="006C6B45" w:rsidRDefault="004F6FBF" w:rsidP="00CD204D">
      <w:pPr>
        <w:jc w:val="both"/>
      </w:pPr>
      <w:r w:rsidRPr="008E6C73">
        <w:t>If you are the intern admitting overnight,</w:t>
      </w:r>
      <w:r w:rsidR="00A71F60">
        <w:t xml:space="preserve"> </w:t>
      </w:r>
      <w:r w:rsidR="006C6B45">
        <w:t>it may be unclear whether or not to restart a patient’s antiretrovirals. This is generally not an emergen</w:t>
      </w:r>
      <w:r w:rsidR="00311955">
        <w:t>c</w:t>
      </w:r>
      <w:r w:rsidR="006C6B45">
        <w:t>y and can always be addressed on morning rounds. Resistan</w:t>
      </w:r>
      <w:r w:rsidR="00311955">
        <w:t>c</w:t>
      </w:r>
      <w:r w:rsidR="006C6B45">
        <w:t>e testing is also something that should be discussed with the HIV/ID attending prior to sending. Additionally, every patient does not need an HIV viral load and CD4 count. If these have been sent recently, for example in the outpatient setting, and the patient is adh</w:t>
      </w:r>
      <w:r w:rsidR="00311955">
        <w:t>erent to therapy, there is no u</w:t>
      </w:r>
      <w:r w:rsidR="006C6B45">
        <w:t xml:space="preserve">tility to repeating these tests in the acute setting. </w:t>
      </w:r>
    </w:p>
    <w:p w:rsidR="004F6FBF" w:rsidRPr="008E6C73" w:rsidRDefault="004F6FBF" w:rsidP="00CD204D">
      <w:pPr>
        <w:jc w:val="both"/>
      </w:pPr>
    </w:p>
    <w:p w:rsidR="00483A75" w:rsidRPr="008E6C73" w:rsidRDefault="00483A75" w:rsidP="00CD204D">
      <w:pPr>
        <w:jc w:val="both"/>
        <w:outlineLvl w:val="0"/>
        <w:rPr>
          <w:b/>
        </w:rPr>
      </w:pPr>
      <w:r w:rsidRPr="008E6C73">
        <w:rPr>
          <w:b/>
        </w:rPr>
        <w:t xml:space="preserve">Brief overview of </w:t>
      </w:r>
      <w:r w:rsidR="00EE572D" w:rsidRPr="008E6C73">
        <w:rPr>
          <w:b/>
        </w:rPr>
        <w:t>HIV:</w:t>
      </w:r>
      <w:r w:rsidRPr="008E6C73">
        <w:rPr>
          <w:b/>
        </w:rPr>
        <w:t xml:space="preserve"> </w:t>
      </w:r>
    </w:p>
    <w:p w:rsidR="00EE572D" w:rsidRPr="008E6C73" w:rsidRDefault="00B97D2D" w:rsidP="00CD204D">
      <w:pPr>
        <w:jc w:val="both"/>
        <w:rPr>
          <w:rFonts w:cs="Times New Roman"/>
          <w:color w:val="000000"/>
          <w:szCs w:val="22"/>
        </w:rPr>
      </w:pPr>
      <w:r w:rsidRPr="008E6C73">
        <w:rPr>
          <w:rFonts w:cs="Times New Roman"/>
          <w:bCs/>
          <w:color w:val="000000"/>
          <w:szCs w:val="22"/>
        </w:rPr>
        <w:t xml:space="preserve">HIV is a retrovirus that infects CD4 cells and dendritic cells. </w:t>
      </w:r>
      <w:r w:rsidR="00371DBB" w:rsidRPr="008E6C73">
        <w:rPr>
          <w:rFonts w:cs="Times New Roman"/>
          <w:color w:val="000000"/>
          <w:szCs w:val="22"/>
        </w:rPr>
        <w:t>The life cycle of HIV can be broken down into 6 steps: (1) entry (binding and fusion) using co-receptors CCR5 or CXCR4, (2) reverse transcription, (3) integration, (4</w:t>
      </w:r>
      <w:r w:rsidR="00EE572D" w:rsidRPr="008E6C73">
        <w:rPr>
          <w:rFonts w:cs="Times New Roman"/>
          <w:color w:val="000000"/>
          <w:szCs w:val="22"/>
        </w:rPr>
        <w:t>/5</w:t>
      </w:r>
      <w:r w:rsidR="00371DBB" w:rsidRPr="008E6C73">
        <w:rPr>
          <w:rFonts w:cs="Times New Roman"/>
          <w:color w:val="000000"/>
          <w:szCs w:val="22"/>
        </w:rPr>
        <w:t>) replication (tr</w:t>
      </w:r>
      <w:r w:rsidR="00EE572D" w:rsidRPr="008E6C73">
        <w:rPr>
          <w:rFonts w:cs="Times New Roman"/>
          <w:color w:val="000000"/>
          <w:szCs w:val="22"/>
        </w:rPr>
        <w:t>anscription and translation), (6</w:t>
      </w:r>
      <w:r w:rsidR="00371DBB" w:rsidRPr="008E6C73">
        <w:rPr>
          <w:rFonts w:cs="Times New Roman"/>
          <w:color w:val="000000"/>
          <w:szCs w:val="22"/>
        </w:rPr>
        <w:t xml:space="preserve">) </w:t>
      </w:r>
      <w:r w:rsidR="00EE572D" w:rsidRPr="008E6C73">
        <w:rPr>
          <w:rFonts w:cs="Times New Roman"/>
          <w:color w:val="000000"/>
          <w:szCs w:val="22"/>
        </w:rPr>
        <w:t>cleavage, (7) assembly, and (8</w:t>
      </w:r>
      <w:r w:rsidR="00371DBB" w:rsidRPr="008E6C73">
        <w:rPr>
          <w:rFonts w:cs="Times New Roman"/>
          <w:color w:val="000000"/>
          <w:szCs w:val="22"/>
        </w:rPr>
        <w:t xml:space="preserve">) budding and maturation. </w:t>
      </w:r>
      <w:r w:rsidR="00EE572D" w:rsidRPr="008E6C73">
        <w:rPr>
          <w:rFonts w:cs="Times New Roman"/>
          <w:color w:val="000000"/>
          <w:szCs w:val="22"/>
        </w:rPr>
        <w:t xml:space="preserve">HIV medications (ARVs) target each of these steps. </w:t>
      </w:r>
    </w:p>
    <w:p w:rsidR="00EE572D" w:rsidRPr="008E6C73" w:rsidRDefault="00EE572D" w:rsidP="00371DBB">
      <w:pPr>
        <w:rPr>
          <w:rFonts w:cs="Times New Roman"/>
          <w:color w:val="000000"/>
          <w:szCs w:val="22"/>
        </w:rPr>
      </w:pPr>
    </w:p>
    <w:p w:rsidR="00371DBB" w:rsidRPr="006C6B45" w:rsidRDefault="00EE572D">
      <w:pPr>
        <w:rPr>
          <w:rFonts w:cs="Times New Roman"/>
          <w:szCs w:val="20"/>
        </w:rPr>
      </w:pPr>
      <w:r w:rsidRPr="008E6C73">
        <w:rPr>
          <w:rFonts w:cs="Times New Roman"/>
          <w:noProof/>
          <w:color w:val="000000"/>
          <w:szCs w:val="22"/>
          <w:lang w:eastAsia="en-US"/>
        </w:rPr>
        <w:lastRenderedPageBreak/>
        <w:drawing>
          <wp:inline distT="0" distB="0" distL="0" distR="0">
            <wp:extent cx="5486400" cy="4773295"/>
            <wp:effectExtent l="25400" t="0" r="0" b="0"/>
            <wp:docPr id="3" name="P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0"/>
                    <a:stretch>
                      <a:fillRect/>
                    </a:stretch>
                  </pic:blipFill>
                  <pic:spPr>
                    <a:xfrm>
                      <a:off x="0" y="0"/>
                      <a:ext cx="5486400" cy="4773295"/>
                    </a:xfrm>
                    <a:prstGeom prst="rect">
                      <a:avLst/>
                    </a:prstGeom>
                  </pic:spPr>
                </pic:pic>
              </a:graphicData>
            </a:graphic>
          </wp:inline>
        </w:drawing>
      </w:r>
    </w:p>
    <w:p w:rsidR="00371DBB" w:rsidRPr="008E6C73" w:rsidRDefault="00371DBB" w:rsidP="00371DBB">
      <w:pPr>
        <w:outlineLvl w:val="0"/>
        <w:rPr>
          <w:b/>
        </w:rPr>
        <w:sectPr w:rsidR="00371DBB" w:rsidRPr="008E6C73">
          <w:footerReference w:type="even" r:id="rId11"/>
          <w:footerReference w:type="default" r:id="rId12"/>
          <w:pgSz w:w="12240" w:h="15840"/>
          <w:pgMar w:top="1440" w:right="1800" w:bottom="1440" w:left="1800" w:header="720" w:footer="720" w:gutter="0"/>
          <w:cols w:space="720"/>
        </w:sectPr>
      </w:pPr>
    </w:p>
    <w:p w:rsidR="006C6B45" w:rsidRDefault="00F42D35" w:rsidP="00371DBB">
      <w:pPr>
        <w:outlineLvl w:val="0"/>
        <w:rPr>
          <w:b/>
        </w:rPr>
      </w:pPr>
      <w:r w:rsidRPr="006C6B45">
        <w:rPr>
          <w:b/>
          <w:u w:val="single"/>
        </w:rPr>
        <w:lastRenderedPageBreak/>
        <w:t>Anti-Retroviral Medication (ARV) Cheat Sheet</w:t>
      </w:r>
      <w:r w:rsidRPr="008E6C73">
        <w:rPr>
          <w:b/>
        </w:rPr>
        <w:t>:</w:t>
      </w:r>
    </w:p>
    <w:p w:rsidR="006C6B45" w:rsidRDefault="006C6B45" w:rsidP="00371DBB">
      <w:pPr>
        <w:outlineLvl w:val="0"/>
        <w:rPr>
          <w:b/>
        </w:rPr>
      </w:pPr>
    </w:p>
    <w:p w:rsidR="006C6B45" w:rsidRPr="008E6C73" w:rsidRDefault="006C6B45" w:rsidP="006C6B45">
      <w:r w:rsidRPr="008E6C73">
        <w:rPr>
          <w:b/>
        </w:rPr>
        <w:t>Preferred Initial Regimens:</w:t>
      </w:r>
      <w:r w:rsidRPr="008E6C73">
        <w:t xml:space="preserve"> Typically, we pick 2 NRTIs and one </w:t>
      </w:r>
      <w:r w:rsidR="00311955">
        <w:t xml:space="preserve">drug </w:t>
      </w:r>
      <w:r w:rsidRPr="008E6C73">
        <w:t xml:space="preserve">from one of the other classes. </w:t>
      </w:r>
    </w:p>
    <w:p w:rsidR="006C6B45" w:rsidRPr="008E6C73" w:rsidRDefault="006C6B45" w:rsidP="006C6B45">
      <w:pPr>
        <w:pStyle w:val="ListParagraph"/>
        <w:numPr>
          <w:ilvl w:val="0"/>
          <w:numId w:val="6"/>
        </w:numPr>
      </w:pPr>
      <w:r w:rsidRPr="008E6C73">
        <w:t>Abacavir/Lamivudine/Dolutegravir</w:t>
      </w:r>
    </w:p>
    <w:p w:rsidR="006C6B45" w:rsidRPr="008E6C73" w:rsidRDefault="006C6B45" w:rsidP="006C6B45">
      <w:pPr>
        <w:pStyle w:val="ListParagraph"/>
        <w:numPr>
          <w:ilvl w:val="0"/>
          <w:numId w:val="6"/>
        </w:numPr>
      </w:pPr>
      <w:r w:rsidRPr="008E6C73">
        <w:t>Tenofovir (TAF or TDF)/Emtricitabine/Dolutegravir</w:t>
      </w:r>
    </w:p>
    <w:p w:rsidR="00311955" w:rsidRDefault="006C6B45" w:rsidP="00311955">
      <w:pPr>
        <w:pStyle w:val="ListParagraph"/>
        <w:numPr>
          <w:ilvl w:val="0"/>
          <w:numId w:val="6"/>
        </w:numPr>
      </w:pPr>
      <w:r w:rsidRPr="008E6C73">
        <w:t>Tenofovir (TAF or TDF)/Emtricitabine PLUS Elvitegravir/Cobicstat OR Raltegravir OR Darunavir/Ritonavir</w:t>
      </w:r>
    </w:p>
    <w:p w:rsidR="00311955" w:rsidRPr="00311955" w:rsidRDefault="00311955" w:rsidP="006C6B45">
      <w:pPr>
        <w:pStyle w:val="ListParagraph"/>
        <w:numPr>
          <w:ilvl w:val="0"/>
          <w:numId w:val="6"/>
        </w:numPr>
      </w:pPr>
      <w:r w:rsidRPr="00311955">
        <w:t>Keep a look out for the newest ART combination pills on the scene: TAF/FTC/bictegravir and DCF-TAF (darunavir/cobi/FTC/TAF)</w:t>
      </w:r>
    </w:p>
    <w:p w:rsidR="006C6B45" w:rsidRPr="008E6C73" w:rsidRDefault="006C6B45" w:rsidP="006C6B45"/>
    <w:p w:rsidR="006C6B45" w:rsidRPr="008E6C73" w:rsidRDefault="006C6B45" w:rsidP="006C6B45">
      <w:pPr>
        <w:rPr>
          <w:b/>
        </w:rPr>
      </w:pPr>
      <w:r w:rsidRPr="008E6C73">
        <w:rPr>
          <w:b/>
        </w:rPr>
        <w:t xml:space="preserve">Tips for Starting ARV therapies: </w:t>
      </w:r>
    </w:p>
    <w:p w:rsidR="006C6B45" w:rsidRPr="008E6C73" w:rsidRDefault="006C6B45" w:rsidP="006C6B45">
      <w:pPr>
        <w:pStyle w:val="ListParagraph"/>
        <w:numPr>
          <w:ilvl w:val="0"/>
          <w:numId w:val="3"/>
        </w:numPr>
      </w:pPr>
      <w:r w:rsidRPr="008E6C73">
        <w:t>Testing before starting: Genotype/Drug resistance testing; HLA-B5701 if considering abacavir; TB/Hepatitis screen</w:t>
      </w:r>
    </w:p>
    <w:p w:rsidR="006C6B45" w:rsidRPr="008E6C73" w:rsidRDefault="006C6B45" w:rsidP="006C6B45">
      <w:pPr>
        <w:pStyle w:val="ListParagraph"/>
        <w:numPr>
          <w:ilvl w:val="0"/>
          <w:numId w:val="3"/>
        </w:numPr>
      </w:pPr>
      <w:r w:rsidRPr="008E6C73">
        <w:t>Ok to start trea</w:t>
      </w:r>
      <w:r>
        <w:t>tment while waiting for resistance testing</w:t>
      </w:r>
      <w:r w:rsidRPr="008E6C73">
        <w:t>, as you can always modify treatment later.</w:t>
      </w:r>
    </w:p>
    <w:p w:rsidR="006C6B45" w:rsidRPr="008E6C73" w:rsidRDefault="006C6B45" w:rsidP="006C6B45">
      <w:pPr>
        <w:pStyle w:val="ListParagraph"/>
        <w:numPr>
          <w:ilvl w:val="0"/>
          <w:numId w:val="3"/>
        </w:numPr>
      </w:pPr>
      <w:r w:rsidRPr="008E6C73">
        <w:t>Early administration of ARVs is preferred, even in the setting of OIs (though caution should be used with cryptococcal and TB meningitis)</w:t>
      </w:r>
    </w:p>
    <w:p w:rsidR="006C6B45" w:rsidRPr="008E6C73" w:rsidRDefault="006C6B45" w:rsidP="006C6B45">
      <w:pPr>
        <w:pStyle w:val="ListParagraph"/>
        <w:numPr>
          <w:ilvl w:val="0"/>
          <w:numId w:val="3"/>
        </w:numPr>
      </w:pPr>
      <w:r w:rsidRPr="008E6C73">
        <w:t xml:space="preserve">ART should be considered life-long therapy. Want to avoid interruption of ART except for serious toxicities or inability to take PO =&gt; usually causes immediate virologic rebound </w:t>
      </w:r>
    </w:p>
    <w:p w:rsidR="006C6B45" w:rsidRPr="008E6C73" w:rsidRDefault="006C6B45" w:rsidP="006C6B45">
      <w:r w:rsidRPr="008E6C73">
        <w:t xml:space="preserve">Note: Tenofovir Alafenamde (TAF) is newer and preferred version of tenofovir. It is a prodrug of Tenofovir Disoproxil Fumarate (TDF) </w:t>
      </w:r>
      <w:r w:rsidR="00311955">
        <w:t xml:space="preserve">and </w:t>
      </w:r>
      <w:r w:rsidRPr="008E6C73">
        <w:t xml:space="preserve">was developed because of renal and bone toxicity associated with TDF. TAF is metabolized intracellularly rather than in the plasma. This causes higher intracellular concentrations of the active metabolite and lower plasma levels, resulting in improved renal and bone safety. For morning report, good to know that trials comparing TAF to TDF (plus elvitegravir/cobicistat/emtricitabine) that showed TAF had superior virologic efficacy, no renal-related discontinuations, and less impact on bone mineral density. </w:t>
      </w:r>
    </w:p>
    <w:p w:rsidR="004328B7" w:rsidRDefault="004328B7" w:rsidP="00371DBB">
      <w:pPr>
        <w:outlineLvl w:val="0"/>
      </w:pPr>
    </w:p>
    <w:p w:rsidR="00F42D35" w:rsidRPr="008E6C73" w:rsidRDefault="004328B7" w:rsidP="00371DBB">
      <w:pPr>
        <w:outlineLvl w:val="0"/>
      </w:pPr>
      <w:r>
        <w:t xml:space="preserve">Table of Anti-Retrovirals: </w:t>
      </w:r>
    </w:p>
    <w:tbl>
      <w:tblPr>
        <w:tblStyle w:val="TableGrid"/>
        <w:tblW w:w="0" w:type="auto"/>
        <w:tblLook w:val="00A0" w:firstRow="1" w:lastRow="0" w:firstColumn="1" w:lastColumn="0" w:noHBand="0" w:noVBand="0"/>
      </w:tblPr>
      <w:tblGrid>
        <w:gridCol w:w="2268"/>
        <w:gridCol w:w="2880"/>
        <w:gridCol w:w="3060"/>
        <w:gridCol w:w="4950"/>
      </w:tblGrid>
      <w:tr w:rsidR="00447727" w:rsidRPr="008E6C73">
        <w:tc>
          <w:tcPr>
            <w:tcW w:w="2268" w:type="dxa"/>
          </w:tcPr>
          <w:p w:rsidR="00447727" w:rsidRPr="008E6C73" w:rsidRDefault="00447727">
            <w:r w:rsidRPr="008E6C73">
              <w:t>Drug Class</w:t>
            </w:r>
          </w:p>
        </w:tc>
        <w:tc>
          <w:tcPr>
            <w:tcW w:w="2880" w:type="dxa"/>
          </w:tcPr>
          <w:p w:rsidR="00447727" w:rsidRPr="008E6C73" w:rsidRDefault="00447727">
            <w:r w:rsidRPr="008E6C73">
              <w:t>Mechanism</w:t>
            </w:r>
          </w:p>
        </w:tc>
        <w:tc>
          <w:tcPr>
            <w:tcW w:w="3060" w:type="dxa"/>
          </w:tcPr>
          <w:p w:rsidR="00447727" w:rsidRPr="008E6C73" w:rsidRDefault="00447727">
            <w:r w:rsidRPr="008E6C73">
              <w:t>Examples</w:t>
            </w:r>
          </w:p>
        </w:tc>
        <w:tc>
          <w:tcPr>
            <w:tcW w:w="4950" w:type="dxa"/>
          </w:tcPr>
          <w:p w:rsidR="00447727" w:rsidRPr="008E6C73" w:rsidRDefault="003A4F4E">
            <w:r w:rsidRPr="008E6C73">
              <w:t xml:space="preserve">Some </w:t>
            </w:r>
            <w:r w:rsidR="00447727" w:rsidRPr="008E6C73">
              <w:t>Important Side Effects to Know:</w:t>
            </w:r>
          </w:p>
        </w:tc>
      </w:tr>
      <w:tr w:rsidR="00447727" w:rsidRPr="008E6C73">
        <w:tc>
          <w:tcPr>
            <w:tcW w:w="2268" w:type="dxa"/>
          </w:tcPr>
          <w:p w:rsidR="00447727" w:rsidRPr="008E6C73" w:rsidRDefault="00447727">
            <w:r w:rsidRPr="008E6C73">
              <w:t>Nucleoside Analogue Reverse Transcriptase Inhibitors (NRTIs)</w:t>
            </w:r>
          </w:p>
        </w:tc>
        <w:tc>
          <w:tcPr>
            <w:tcW w:w="2880" w:type="dxa"/>
          </w:tcPr>
          <w:p w:rsidR="00447727" w:rsidRPr="008E6C73" w:rsidRDefault="00447727" w:rsidP="008A66AA">
            <w:r w:rsidRPr="008E6C73">
              <w:t xml:space="preserve">Inhibit reverse transcriptase by acting as fake nucleosides that get incorporated into dsDNA during the conversion of </w:t>
            </w:r>
            <w:r w:rsidRPr="008E6C73">
              <w:lastRenderedPageBreak/>
              <w:t xml:space="preserve">RNA to DNA, causing nonfunctional DNA.  </w:t>
            </w:r>
          </w:p>
        </w:tc>
        <w:tc>
          <w:tcPr>
            <w:tcW w:w="3060" w:type="dxa"/>
          </w:tcPr>
          <w:p w:rsidR="00447727" w:rsidRPr="008E6C73" w:rsidRDefault="00447727">
            <w:r w:rsidRPr="008E6C73">
              <w:rPr>
                <w:i/>
              </w:rPr>
              <w:lastRenderedPageBreak/>
              <w:t>Pyrimidine Analogues</w:t>
            </w:r>
            <w:r w:rsidRPr="008E6C73">
              <w:t xml:space="preserve">: </w:t>
            </w:r>
          </w:p>
          <w:p w:rsidR="00447727" w:rsidRPr="008E6C73" w:rsidRDefault="00447727" w:rsidP="00F42D35">
            <w:pPr>
              <w:rPr>
                <w:b/>
              </w:rPr>
            </w:pPr>
            <w:r w:rsidRPr="008E6C73">
              <w:rPr>
                <w:b/>
              </w:rPr>
              <w:t>Emtricitabine (FTC)</w:t>
            </w:r>
          </w:p>
          <w:p w:rsidR="00447727" w:rsidRPr="008E6C73" w:rsidRDefault="00447727" w:rsidP="00F42D35">
            <w:pPr>
              <w:rPr>
                <w:b/>
              </w:rPr>
            </w:pPr>
            <w:r w:rsidRPr="008E6C73">
              <w:rPr>
                <w:b/>
              </w:rPr>
              <w:t>Lamivudine</w:t>
            </w:r>
            <w:r w:rsidR="008F2624" w:rsidRPr="008E6C73">
              <w:rPr>
                <w:b/>
              </w:rPr>
              <w:t xml:space="preserve"> (3TC)</w:t>
            </w:r>
          </w:p>
          <w:p w:rsidR="00447727" w:rsidRPr="008E6C73" w:rsidRDefault="00447727" w:rsidP="00F42D35">
            <w:r w:rsidRPr="008E6C73">
              <w:t>Zidovudine</w:t>
            </w:r>
            <w:r w:rsidR="00284A85">
              <w:t xml:space="preserve"> (AZT</w:t>
            </w:r>
            <w:r w:rsidR="009B75E6" w:rsidRPr="008E6C73">
              <w:t>)</w:t>
            </w:r>
          </w:p>
          <w:p w:rsidR="00447727" w:rsidRPr="008E6C73" w:rsidRDefault="00447727" w:rsidP="00F42D35">
            <w:r w:rsidRPr="008E6C73">
              <w:t xml:space="preserve">Stavudine </w:t>
            </w:r>
          </w:p>
          <w:p w:rsidR="00447727" w:rsidRPr="008E6C73" w:rsidRDefault="00447727">
            <w:pPr>
              <w:rPr>
                <w:i/>
              </w:rPr>
            </w:pPr>
            <w:r w:rsidRPr="008E6C73">
              <w:rPr>
                <w:i/>
              </w:rPr>
              <w:lastRenderedPageBreak/>
              <w:t xml:space="preserve">Purine Analogues: </w:t>
            </w:r>
          </w:p>
          <w:p w:rsidR="00447727" w:rsidRPr="008E6C73" w:rsidRDefault="00447727">
            <w:pPr>
              <w:rPr>
                <w:b/>
              </w:rPr>
            </w:pPr>
            <w:r w:rsidRPr="008E6C73">
              <w:rPr>
                <w:b/>
              </w:rPr>
              <w:t>Abacavir</w:t>
            </w:r>
            <w:r w:rsidR="008F2624" w:rsidRPr="008E6C73">
              <w:rPr>
                <w:b/>
              </w:rPr>
              <w:t xml:space="preserve"> (ABC)</w:t>
            </w:r>
          </w:p>
          <w:p w:rsidR="00447727" w:rsidRPr="008E6C73" w:rsidRDefault="00447727">
            <w:pPr>
              <w:rPr>
                <w:b/>
              </w:rPr>
            </w:pPr>
            <w:r w:rsidRPr="008E6C73">
              <w:rPr>
                <w:b/>
              </w:rPr>
              <w:t>Tenofovir (TDF or TAF)</w:t>
            </w:r>
          </w:p>
          <w:p w:rsidR="00447727" w:rsidRPr="008E6C73" w:rsidRDefault="00447727">
            <w:r w:rsidRPr="008E6C73">
              <w:t xml:space="preserve">Didanosine </w:t>
            </w:r>
          </w:p>
        </w:tc>
        <w:tc>
          <w:tcPr>
            <w:tcW w:w="4950" w:type="dxa"/>
          </w:tcPr>
          <w:p w:rsidR="003A4F4E" w:rsidRPr="008E6C73" w:rsidRDefault="003A4F4E">
            <w:r w:rsidRPr="008E6C73">
              <w:rPr>
                <w:u w:val="single"/>
              </w:rPr>
              <w:lastRenderedPageBreak/>
              <w:t>Zidovudine</w:t>
            </w:r>
            <w:r w:rsidRPr="008E6C73">
              <w:t xml:space="preserve">: Bone Marrow Suppression; peripheral neuropathy, lactic acidosis, lipoatrophy </w:t>
            </w:r>
          </w:p>
          <w:p w:rsidR="003A4F4E" w:rsidRPr="008E6C73" w:rsidRDefault="00447727">
            <w:r w:rsidRPr="008E6C73">
              <w:rPr>
                <w:u w:val="single"/>
              </w:rPr>
              <w:t>Abacavir</w:t>
            </w:r>
            <w:r w:rsidR="00363183" w:rsidRPr="008E6C73">
              <w:t>: Need to check HLAB5701 first because of risk of hypersensitivity reaction.</w:t>
            </w:r>
          </w:p>
          <w:p w:rsidR="00447727" w:rsidRPr="008E6C73" w:rsidRDefault="003A4F4E">
            <w:r w:rsidRPr="008E6C73">
              <w:lastRenderedPageBreak/>
              <w:t xml:space="preserve">TDF: Renal and bone adverse effects. Fanconi syndrome. Favorable Lipids. </w:t>
            </w:r>
          </w:p>
          <w:p w:rsidR="00447727" w:rsidRPr="008E6C73" w:rsidRDefault="003A4F4E" w:rsidP="003A4F4E">
            <w:r w:rsidRPr="008E6C73">
              <w:rPr>
                <w:u w:val="single"/>
              </w:rPr>
              <w:t>Didanosine</w:t>
            </w:r>
            <w:r w:rsidRPr="008E6C73">
              <w:t xml:space="preserve">: Pancreatitis; </w:t>
            </w:r>
            <w:r w:rsidR="00447727" w:rsidRPr="008E6C73">
              <w:t xml:space="preserve">peripheral neuropathy, lipoatrophy, lactic acidosis </w:t>
            </w:r>
          </w:p>
        </w:tc>
      </w:tr>
      <w:tr w:rsidR="00447727" w:rsidRPr="008E6C73">
        <w:tc>
          <w:tcPr>
            <w:tcW w:w="2268" w:type="dxa"/>
          </w:tcPr>
          <w:p w:rsidR="00447727" w:rsidRPr="008E6C73" w:rsidRDefault="00447727">
            <w:r w:rsidRPr="008E6C73">
              <w:lastRenderedPageBreak/>
              <w:t>Non-Nucleoside Analogue Reverse Transcriptase Inhibitors (NNRTIs)</w:t>
            </w:r>
          </w:p>
        </w:tc>
        <w:tc>
          <w:tcPr>
            <w:tcW w:w="2880" w:type="dxa"/>
          </w:tcPr>
          <w:p w:rsidR="00447727" w:rsidRPr="008E6C73" w:rsidRDefault="00447727">
            <w:r w:rsidRPr="008E6C73">
              <w:t>Also inhibit reverse transcriptase, but do so by binding directly to reverse transcriptase</w:t>
            </w:r>
          </w:p>
        </w:tc>
        <w:tc>
          <w:tcPr>
            <w:tcW w:w="3060" w:type="dxa"/>
          </w:tcPr>
          <w:p w:rsidR="00447727" w:rsidRPr="008E6C73" w:rsidRDefault="00447727">
            <w:pPr>
              <w:rPr>
                <w:b/>
              </w:rPr>
            </w:pPr>
            <w:r w:rsidRPr="008E6C73">
              <w:rPr>
                <w:b/>
              </w:rPr>
              <w:t xml:space="preserve">Efavirenz </w:t>
            </w:r>
            <w:r w:rsidR="00363183" w:rsidRPr="008E6C73">
              <w:rPr>
                <w:b/>
              </w:rPr>
              <w:t>(EFV</w:t>
            </w:r>
            <w:r w:rsidR="009B75E6" w:rsidRPr="008E6C73">
              <w:rPr>
                <w:b/>
              </w:rPr>
              <w:t>)</w:t>
            </w:r>
          </w:p>
          <w:p w:rsidR="00447727" w:rsidRPr="008E6C73" w:rsidRDefault="00447727">
            <w:pPr>
              <w:rPr>
                <w:b/>
              </w:rPr>
            </w:pPr>
            <w:r w:rsidRPr="008E6C73">
              <w:rPr>
                <w:b/>
              </w:rPr>
              <w:t>Rilpivirine</w:t>
            </w:r>
          </w:p>
          <w:p w:rsidR="00447727" w:rsidRPr="008E6C73" w:rsidRDefault="00447727">
            <w:r w:rsidRPr="008E6C73">
              <w:t>Nevirapine</w:t>
            </w:r>
          </w:p>
          <w:p w:rsidR="00447727" w:rsidRPr="008E6C73" w:rsidRDefault="00447727">
            <w:r w:rsidRPr="008E6C73">
              <w:t>Etravirine</w:t>
            </w:r>
          </w:p>
        </w:tc>
        <w:tc>
          <w:tcPr>
            <w:tcW w:w="4950" w:type="dxa"/>
          </w:tcPr>
          <w:p w:rsidR="003A4F4E" w:rsidRPr="008E6C73" w:rsidRDefault="003A4F4E">
            <w:r w:rsidRPr="008E6C73">
              <w:rPr>
                <w:u w:val="single"/>
              </w:rPr>
              <w:t>Efavirenz</w:t>
            </w:r>
            <w:r w:rsidRPr="008E6C73">
              <w:t>: Neuropsychiatric effects, rash in 15% of pts</w:t>
            </w:r>
          </w:p>
          <w:p w:rsidR="003A4F4E" w:rsidRPr="008E6C73" w:rsidRDefault="003A4F4E">
            <w:r w:rsidRPr="008E6C73">
              <w:rPr>
                <w:u w:val="single"/>
              </w:rPr>
              <w:t>Rilpivirine</w:t>
            </w:r>
            <w:r w:rsidRPr="008E6C73">
              <w:t>: Cannot take with PPIs</w:t>
            </w:r>
          </w:p>
          <w:p w:rsidR="003A4F4E" w:rsidRPr="008E6C73" w:rsidRDefault="003A4F4E">
            <w:r w:rsidRPr="008E6C73">
              <w:rPr>
                <w:u w:val="single"/>
              </w:rPr>
              <w:t>Nevirapine</w:t>
            </w:r>
            <w:r w:rsidRPr="008E6C73">
              <w:t>: Hypersensitivity; hepatotoxicity</w:t>
            </w:r>
          </w:p>
          <w:p w:rsidR="00447727" w:rsidRPr="008E6C73" w:rsidRDefault="003A4F4E">
            <w:r w:rsidRPr="008E6C73">
              <w:rPr>
                <w:u w:val="single"/>
              </w:rPr>
              <w:t>Etravirine</w:t>
            </w:r>
            <w:r w:rsidRPr="008E6C73">
              <w:t>: Rash</w:t>
            </w:r>
          </w:p>
        </w:tc>
      </w:tr>
      <w:tr w:rsidR="00447727" w:rsidRPr="008E6C73">
        <w:tc>
          <w:tcPr>
            <w:tcW w:w="2268" w:type="dxa"/>
          </w:tcPr>
          <w:p w:rsidR="00447727" w:rsidRPr="008E6C73" w:rsidRDefault="00447727">
            <w:r w:rsidRPr="008E6C73">
              <w:t>Protease Inhibitors</w:t>
            </w:r>
          </w:p>
          <w:p w:rsidR="00447727" w:rsidRPr="008E6C73" w:rsidRDefault="00447727">
            <w:r w:rsidRPr="008E6C73">
              <w:t>(PI)</w:t>
            </w:r>
          </w:p>
        </w:tc>
        <w:tc>
          <w:tcPr>
            <w:tcW w:w="2880" w:type="dxa"/>
          </w:tcPr>
          <w:p w:rsidR="00447727" w:rsidRPr="008E6C73" w:rsidRDefault="00447727">
            <w:r w:rsidRPr="008E6C73">
              <w:t xml:space="preserve">Prevents protease from cleaving HIV proteins and enzymes into forms that can infect other cells. </w:t>
            </w:r>
          </w:p>
        </w:tc>
        <w:tc>
          <w:tcPr>
            <w:tcW w:w="3060" w:type="dxa"/>
          </w:tcPr>
          <w:p w:rsidR="00447727" w:rsidRPr="008E6C73" w:rsidRDefault="00447727">
            <w:pPr>
              <w:rPr>
                <w:b/>
              </w:rPr>
            </w:pPr>
            <w:r w:rsidRPr="008E6C73">
              <w:rPr>
                <w:b/>
              </w:rPr>
              <w:t>Darunavir</w:t>
            </w:r>
          </w:p>
          <w:p w:rsidR="00447727" w:rsidRPr="008E6C73" w:rsidRDefault="00447727">
            <w:pPr>
              <w:rPr>
                <w:b/>
              </w:rPr>
            </w:pPr>
            <w:r w:rsidRPr="008E6C73">
              <w:rPr>
                <w:b/>
              </w:rPr>
              <w:t>Atazanavir</w:t>
            </w:r>
          </w:p>
          <w:p w:rsidR="00447727" w:rsidRPr="008E6C73" w:rsidRDefault="00447727">
            <w:pPr>
              <w:rPr>
                <w:b/>
              </w:rPr>
            </w:pPr>
            <w:r w:rsidRPr="008E6C73">
              <w:rPr>
                <w:b/>
              </w:rPr>
              <w:t xml:space="preserve">Ritonavir </w:t>
            </w:r>
          </w:p>
          <w:p w:rsidR="00447727" w:rsidRPr="008E6C73" w:rsidRDefault="00447727">
            <w:r w:rsidRPr="008E6C73">
              <w:t xml:space="preserve">Fosamprenavir </w:t>
            </w:r>
          </w:p>
          <w:p w:rsidR="00447727" w:rsidRPr="008E6C73" w:rsidRDefault="00447727">
            <w:r w:rsidRPr="008E6C73">
              <w:t>Indinavir</w:t>
            </w:r>
          </w:p>
          <w:p w:rsidR="00447727" w:rsidRPr="008E6C73" w:rsidRDefault="00447727">
            <w:r w:rsidRPr="008E6C73">
              <w:t>Lopinavir</w:t>
            </w:r>
          </w:p>
          <w:p w:rsidR="00447727" w:rsidRPr="008E6C73" w:rsidRDefault="00447727">
            <w:r w:rsidRPr="008E6C73">
              <w:t>Nelfinavir</w:t>
            </w:r>
          </w:p>
          <w:p w:rsidR="00447727" w:rsidRPr="008E6C73" w:rsidRDefault="00447727">
            <w:r w:rsidRPr="008E6C73">
              <w:t>Saquinavir</w:t>
            </w:r>
          </w:p>
          <w:p w:rsidR="00447727" w:rsidRPr="008E6C73" w:rsidRDefault="00447727">
            <w:r w:rsidRPr="008E6C73">
              <w:t>Tipranavir</w:t>
            </w:r>
          </w:p>
        </w:tc>
        <w:tc>
          <w:tcPr>
            <w:tcW w:w="4950" w:type="dxa"/>
          </w:tcPr>
          <w:p w:rsidR="003A4F4E" w:rsidRPr="008E6C73" w:rsidRDefault="003A4F4E">
            <w:r w:rsidRPr="008E6C73">
              <w:rPr>
                <w:u w:val="single"/>
              </w:rPr>
              <w:t>Atazanavir</w:t>
            </w:r>
            <w:r w:rsidRPr="008E6C73">
              <w:t>:</w:t>
            </w:r>
            <w:r w:rsidR="009B75E6" w:rsidRPr="008E6C73">
              <w:t xml:space="preserve"> Hyperbilirubinemia; nephrolithiasis</w:t>
            </w:r>
            <w:r w:rsidRPr="008E6C73">
              <w:t xml:space="preserve"> </w:t>
            </w:r>
          </w:p>
          <w:p w:rsidR="003A4F4E" w:rsidRPr="008E6C73" w:rsidRDefault="003A4F4E">
            <w:r w:rsidRPr="008E6C73">
              <w:rPr>
                <w:u w:val="single"/>
              </w:rPr>
              <w:t>Indinavir</w:t>
            </w:r>
            <w:r w:rsidRPr="008E6C73">
              <w:t xml:space="preserve">: </w:t>
            </w:r>
            <w:r w:rsidR="009B75E6" w:rsidRPr="008E6C73">
              <w:t>Lipoaccumulation</w:t>
            </w:r>
          </w:p>
          <w:p w:rsidR="004328B7" w:rsidRDefault="003A4F4E">
            <w:r w:rsidRPr="008E6C73">
              <w:rPr>
                <w:u w:val="single"/>
              </w:rPr>
              <w:t>Saquinavir</w:t>
            </w:r>
            <w:r w:rsidRPr="008E6C73">
              <w:t xml:space="preserve">: </w:t>
            </w:r>
            <w:r w:rsidR="009B75E6" w:rsidRPr="008E6C73">
              <w:t>Lipoaccumulation</w:t>
            </w:r>
          </w:p>
          <w:p w:rsidR="004328B7" w:rsidRDefault="004328B7"/>
          <w:p w:rsidR="00447727" w:rsidRPr="008E6C73" w:rsidRDefault="004328B7">
            <w:r>
              <w:t>All PIs may cause the metabolic syndrome</w:t>
            </w:r>
          </w:p>
        </w:tc>
      </w:tr>
      <w:tr w:rsidR="00447727" w:rsidRPr="008E6C73">
        <w:tc>
          <w:tcPr>
            <w:tcW w:w="2268" w:type="dxa"/>
          </w:tcPr>
          <w:p w:rsidR="00447727" w:rsidRPr="008E6C73" w:rsidRDefault="00447727">
            <w:r w:rsidRPr="008E6C73">
              <w:t>Integrase Inhibitors</w:t>
            </w:r>
          </w:p>
        </w:tc>
        <w:tc>
          <w:tcPr>
            <w:tcW w:w="2880" w:type="dxa"/>
          </w:tcPr>
          <w:p w:rsidR="00A71F60" w:rsidRDefault="003B1A4E">
            <w:r w:rsidRPr="008E6C73">
              <w:t>Block HIV integrase</w:t>
            </w:r>
            <w:r w:rsidR="00EE572D" w:rsidRPr="008E6C73">
              <w:t>, which encorporates HIV DNA into host DNA</w:t>
            </w:r>
          </w:p>
          <w:p w:rsidR="00447727" w:rsidRPr="008E6C73" w:rsidRDefault="00447727"/>
        </w:tc>
        <w:tc>
          <w:tcPr>
            <w:tcW w:w="3060" w:type="dxa"/>
          </w:tcPr>
          <w:p w:rsidR="00447727" w:rsidRPr="008E6C73" w:rsidRDefault="00447727">
            <w:pPr>
              <w:rPr>
                <w:b/>
              </w:rPr>
            </w:pPr>
            <w:r w:rsidRPr="008E6C73">
              <w:rPr>
                <w:b/>
              </w:rPr>
              <w:t>Raltegravir</w:t>
            </w:r>
          </w:p>
          <w:p w:rsidR="00447727" w:rsidRPr="008E6C73" w:rsidRDefault="00447727">
            <w:pPr>
              <w:rPr>
                <w:b/>
              </w:rPr>
            </w:pPr>
            <w:r w:rsidRPr="008E6C73">
              <w:rPr>
                <w:b/>
              </w:rPr>
              <w:t>Elvitegravir</w:t>
            </w:r>
            <w:r w:rsidR="009B75E6" w:rsidRPr="008E6C73">
              <w:rPr>
                <w:b/>
              </w:rPr>
              <w:t xml:space="preserve"> (EVG)</w:t>
            </w:r>
          </w:p>
          <w:p w:rsidR="00447727" w:rsidRPr="008E6C73" w:rsidRDefault="00447727">
            <w:r w:rsidRPr="008E6C73">
              <w:rPr>
                <w:b/>
              </w:rPr>
              <w:t>Dolutegravir</w:t>
            </w:r>
            <w:r w:rsidRPr="008E6C73">
              <w:t xml:space="preserve">  </w:t>
            </w:r>
            <w:r w:rsidR="008F2624" w:rsidRPr="008E6C73">
              <w:t>(DTG)</w:t>
            </w:r>
          </w:p>
        </w:tc>
        <w:tc>
          <w:tcPr>
            <w:tcW w:w="4950" w:type="dxa"/>
          </w:tcPr>
          <w:p w:rsidR="004328B7" w:rsidRDefault="00EE572D" w:rsidP="004328B7">
            <w:r w:rsidRPr="008E6C73">
              <w:rPr>
                <w:u w:val="single"/>
              </w:rPr>
              <w:t>Dolutegravir</w:t>
            </w:r>
            <w:r w:rsidRPr="008E6C73">
              <w:t xml:space="preserve">: </w:t>
            </w:r>
            <w:r w:rsidR="004328B7">
              <w:t>Caution when used with</w:t>
            </w:r>
            <w:r w:rsidRPr="008E6C73">
              <w:t xml:space="preserve"> metformin; </w:t>
            </w:r>
            <w:r w:rsidR="004558AC" w:rsidRPr="008E6C73">
              <w:t>May elevate</w:t>
            </w:r>
            <w:r w:rsidRPr="008E6C73">
              <w:t xml:space="preserve"> serum creatinine</w:t>
            </w:r>
            <w:r w:rsidR="004328B7">
              <w:t xml:space="preserve">; </w:t>
            </w:r>
          </w:p>
          <w:p w:rsidR="00447727" w:rsidRPr="008E6C73" w:rsidRDefault="004328B7" w:rsidP="004328B7">
            <w:r>
              <w:t xml:space="preserve">New data suggests may increase risk of neural tubes defects if taken during pregnancy. </w:t>
            </w:r>
          </w:p>
        </w:tc>
      </w:tr>
      <w:tr w:rsidR="00447727" w:rsidRPr="008E6C73">
        <w:tc>
          <w:tcPr>
            <w:tcW w:w="2268" w:type="dxa"/>
          </w:tcPr>
          <w:p w:rsidR="00447727" w:rsidRPr="008E6C73" w:rsidRDefault="00447727">
            <w:r w:rsidRPr="008E6C73">
              <w:t>Booster Agents</w:t>
            </w:r>
          </w:p>
        </w:tc>
        <w:tc>
          <w:tcPr>
            <w:tcW w:w="2880" w:type="dxa"/>
          </w:tcPr>
          <w:p w:rsidR="00447727" w:rsidRPr="008E6C73" w:rsidRDefault="00447727">
            <w:r w:rsidRPr="008E6C73">
              <w:t>Inhibit CYP 3A4, increasing concentrations of other HIV drugs (notably PIs)</w:t>
            </w:r>
          </w:p>
        </w:tc>
        <w:tc>
          <w:tcPr>
            <w:tcW w:w="3060" w:type="dxa"/>
          </w:tcPr>
          <w:p w:rsidR="00447727" w:rsidRPr="008E6C73" w:rsidRDefault="00447727" w:rsidP="00F42D35">
            <w:r w:rsidRPr="008E6C73">
              <w:t>Ritonavir (also a PI itself)</w:t>
            </w:r>
          </w:p>
          <w:p w:rsidR="00447727" w:rsidRPr="008E6C73" w:rsidRDefault="00447727" w:rsidP="00F42D35">
            <w:r w:rsidRPr="008E6C73">
              <w:t>Cobicistat</w:t>
            </w:r>
          </w:p>
        </w:tc>
        <w:tc>
          <w:tcPr>
            <w:tcW w:w="4950" w:type="dxa"/>
          </w:tcPr>
          <w:p w:rsidR="004328B7" w:rsidRDefault="009B75E6" w:rsidP="00F42D35">
            <w:r w:rsidRPr="008E6C73">
              <w:rPr>
                <w:u w:val="single"/>
              </w:rPr>
              <w:t>Cobicistat</w:t>
            </w:r>
            <w:r w:rsidRPr="008E6C73">
              <w:t xml:space="preserve">: May increase serum creatinine </w:t>
            </w:r>
          </w:p>
          <w:p w:rsidR="004328B7" w:rsidRDefault="004328B7" w:rsidP="00F42D35"/>
          <w:p w:rsidR="00447727" w:rsidRPr="008E6C73" w:rsidRDefault="004328B7" w:rsidP="00F42D35">
            <w:r>
              <w:t>Drug-Drug interactions may occur, notably with commonly prescribed medications such as statins, NOACs, and steroids (inhaled and systemic)</w:t>
            </w:r>
          </w:p>
        </w:tc>
      </w:tr>
    </w:tbl>
    <w:p w:rsidR="00CE0ECF" w:rsidRDefault="004328B7" w:rsidP="00F42D35">
      <w:r w:rsidRPr="004328B7">
        <w:t xml:space="preserve">Note: Entry Inhibitors that block attachment of HIV to host cells, including Enfuvirtide and Maraviroc, have a limited role in therapy and are now rarely used because of method of delivery (injection) and side effects. </w:t>
      </w:r>
    </w:p>
    <w:p w:rsidR="0025338F" w:rsidRPr="004328B7" w:rsidRDefault="0025338F" w:rsidP="00F42D35">
      <w:r w:rsidRPr="008E6C73">
        <w:rPr>
          <w:b/>
        </w:rPr>
        <w:lastRenderedPageBreak/>
        <w:t xml:space="preserve">Common Combination Pills: </w:t>
      </w:r>
    </w:p>
    <w:p w:rsidR="0025338F" w:rsidRPr="008E6C73" w:rsidRDefault="0025338F" w:rsidP="0025338F">
      <w:pPr>
        <w:pStyle w:val="ListParagraph"/>
        <w:numPr>
          <w:ilvl w:val="0"/>
          <w:numId w:val="4"/>
        </w:numPr>
      </w:pPr>
      <w:r w:rsidRPr="008E6C73">
        <w:t xml:space="preserve">Atripla* = </w:t>
      </w:r>
      <w:r w:rsidR="00363183" w:rsidRPr="008E6C73">
        <w:t xml:space="preserve">Efavirenz </w:t>
      </w:r>
      <w:r w:rsidRPr="008E6C73">
        <w:t>/</w:t>
      </w:r>
      <w:r w:rsidR="00BF0AF9" w:rsidRPr="008E6C73">
        <w:t>Tenofovir (</w:t>
      </w:r>
      <w:r w:rsidRPr="008E6C73">
        <w:t>TDF</w:t>
      </w:r>
      <w:r w:rsidR="00BF0AF9" w:rsidRPr="008E6C73">
        <w:t>)/ Emtricitabine</w:t>
      </w:r>
    </w:p>
    <w:p w:rsidR="0025338F" w:rsidRPr="008E6C73" w:rsidRDefault="0025338F" w:rsidP="0025338F">
      <w:pPr>
        <w:pStyle w:val="ListParagraph"/>
        <w:numPr>
          <w:ilvl w:val="0"/>
          <w:numId w:val="4"/>
        </w:numPr>
      </w:pPr>
      <w:r w:rsidRPr="008E6C73">
        <w:t>St</w:t>
      </w:r>
      <w:r w:rsidR="00BF0AF9" w:rsidRPr="008E6C73">
        <w:t>ribild* = Elvitegravir /Cobicistat/Tenofovir (TDF)/ Emtricitabine</w:t>
      </w:r>
    </w:p>
    <w:p w:rsidR="0025338F" w:rsidRPr="008E6C73" w:rsidRDefault="0025338F" w:rsidP="0025338F">
      <w:pPr>
        <w:pStyle w:val="ListParagraph"/>
        <w:numPr>
          <w:ilvl w:val="0"/>
          <w:numId w:val="4"/>
        </w:numPr>
      </w:pPr>
      <w:r w:rsidRPr="008E6C73">
        <w:t>G</w:t>
      </w:r>
      <w:r w:rsidR="00BF0AF9" w:rsidRPr="008E6C73">
        <w:t>envoya* = Elvitegravir /Cobicistat/Tenofovir (TAF)/ Emtricitabine</w:t>
      </w:r>
    </w:p>
    <w:p w:rsidR="004328B7" w:rsidRDefault="00BF0AF9" w:rsidP="0025338F">
      <w:pPr>
        <w:pStyle w:val="ListParagraph"/>
        <w:numPr>
          <w:ilvl w:val="0"/>
          <w:numId w:val="4"/>
        </w:numPr>
      </w:pPr>
      <w:r w:rsidRPr="008E6C73">
        <w:t>Triumeq* = Dolutegravir / Abacavir / Lamivudine</w:t>
      </w:r>
    </w:p>
    <w:p w:rsidR="0025338F" w:rsidRPr="008E6C73" w:rsidRDefault="004328B7" w:rsidP="0025338F">
      <w:pPr>
        <w:pStyle w:val="ListParagraph"/>
        <w:numPr>
          <w:ilvl w:val="0"/>
          <w:numId w:val="4"/>
        </w:numPr>
      </w:pPr>
      <w:r>
        <w:t xml:space="preserve">Biktarvy* = Bictegravir/Emtricitabine/Tenofovir (TAF) </w:t>
      </w:r>
    </w:p>
    <w:p w:rsidR="0025338F" w:rsidRPr="008E6C73" w:rsidRDefault="00BF0AF9" w:rsidP="0025338F">
      <w:pPr>
        <w:pStyle w:val="ListParagraph"/>
        <w:numPr>
          <w:ilvl w:val="0"/>
          <w:numId w:val="4"/>
        </w:numPr>
      </w:pPr>
      <w:r w:rsidRPr="008E6C73">
        <w:t>Truvada = Tenofovir (TDF)/ Emtricitabine</w:t>
      </w:r>
    </w:p>
    <w:p w:rsidR="0025338F" w:rsidRPr="008E6C73" w:rsidRDefault="00BF0AF9" w:rsidP="0025338F">
      <w:pPr>
        <w:pStyle w:val="ListParagraph"/>
        <w:numPr>
          <w:ilvl w:val="0"/>
          <w:numId w:val="4"/>
        </w:numPr>
      </w:pPr>
      <w:r w:rsidRPr="008E6C73">
        <w:t>Descovy: Tenofovir (TAF)/ Emtricitabine</w:t>
      </w:r>
    </w:p>
    <w:p w:rsidR="0025338F" w:rsidRPr="008E6C73" w:rsidRDefault="00BF0AF9" w:rsidP="0025338F">
      <w:pPr>
        <w:pStyle w:val="ListParagraph"/>
        <w:numPr>
          <w:ilvl w:val="0"/>
          <w:numId w:val="4"/>
        </w:numPr>
      </w:pPr>
      <w:r w:rsidRPr="008E6C73">
        <w:t>Epzicom = Abacavir / Lamivudine</w:t>
      </w:r>
    </w:p>
    <w:p w:rsidR="0025338F" w:rsidRPr="008E6C73" w:rsidRDefault="00BF0AF9" w:rsidP="0025338F">
      <w:pPr>
        <w:pStyle w:val="ListParagraph"/>
        <w:numPr>
          <w:ilvl w:val="0"/>
          <w:numId w:val="4"/>
        </w:numPr>
      </w:pPr>
      <w:r w:rsidRPr="008E6C73">
        <w:t>Combivir = Zidovudine / Lamivudine</w:t>
      </w:r>
    </w:p>
    <w:p w:rsidR="00371DBB" w:rsidRPr="008E6C73" w:rsidRDefault="0025338F" w:rsidP="0025338F">
      <w:r w:rsidRPr="008E6C73">
        <w:t xml:space="preserve">*Full regimen combination pills. Others are combination pills but not complete regimens. </w:t>
      </w:r>
    </w:p>
    <w:p w:rsidR="00EE572D" w:rsidRPr="008E6C73" w:rsidRDefault="00EE572D" w:rsidP="00EE572D"/>
    <w:p w:rsidR="00EE572D" w:rsidRPr="008E6C73" w:rsidRDefault="00EE572D" w:rsidP="00EE572D">
      <w:pPr>
        <w:rPr>
          <w:b/>
        </w:rPr>
      </w:pPr>
      <w:r w:rsidRPr="008E6C73">
        <w:rPr>
          <w:b/>
        </w:rPr>
        <w:t xml:space="preserve">Considerations when choosing ART: </w:t>
      </w:r>
    </w:p>
    <w:p w:rsidR="006C6B45" w:rsidRDefault="00EE572D" w:rsidP="006C6B45">
      <w:pPr>
        <w:pStyle w:val="ListParagraph"/>
        <w:numPr>
          <w:ilvl w:val="0"/>
          <w:numId w:val="5"/>
        </w:numPr>
      </w:pPr>
      <w:r w:rsidRPr="008E6C73">
        <w:t>For Hepatitis B: Should have TAF</w:t>
      </w:r>
      <w:r w:rsidR="006C6B45">
        <w:t xml:space="preserve"> or TDF in the regimen</w:t>
      </w:r>
    </w:p>
    <w:p w:rsidR="00EE572D" w:rsidRPr="008E6C73" w:rsidRDefault="00EE572D" w:rsidP="006C6B45">
      <w:pPr>
        <w:pStyle w:val="ListParagraph"/>
        <w:numPr>
          <w:ilvl w:val="0"/>
          <w:numId w:val="5"/>
        </w:numPr>
      </w:pPr>
      <w:r w:rsidRPr="008E6C73">
        <w:t>If very con</w:t>
      </w:r>
      <w:r w:rsidR="006C6B45">
        <w:t>cerned for non-adherence, consider a PI based</w:t>
      </w:r>
      <w:r w:rsidRPr="008E6C73">
        <w:t xml:space="preserve"> regimen (eg: darunavir/</w:t>
      </w:r>
      <w:r w:rsidR="006C6B45">
        <w:t>norvir/</w:t>
      </w:r>
      <w:r w:rsidRPr="008E6C73">
        <w:t xml:space="preserve">TAF/Emtricitabine) </w:t>
      </w:r>
      <w:r w:rsidR="004328B7">
        <w:t>given high threshold to developing resistance mutations with the PI class</w:t>
      </w:r>
    </w:p>
    <w:p w:rsidR="00EE572D" w:rsidRPr="008E6C73" w:rsidRDefault="00EE572D" w:rsidP="00EE572D">
      <w:pPr>
        <w:pStyle w:val="ListParagraph"/>
        <w:numPr>
          <w:ilvl w:val="0"/>
          <w:numId w:val="5"/>
        </w:numPr>
      </w:pPr>
      <w:r w:rsidRPr="008E6C73">
        <w:t>Avo</w:t>
      </w:r>
      <w:r w:rsidR="004328B7">
        <w:t xml:space="preserve">id TDF if GFR &lt;60; Avoid TAF if </w:t>
      </w:r>
      <w:r w:rsidRPr="008E6C73">
        <w:t>GFR &lt;30</w:t>
      </w:r>
    </w:p>
    <w:p w:rsidR="004558AC" w:rsidRPr="008E6C73" w:rsidRDefault="009135B8" w:rsidP="009135B8">
      <w:pPr>
        <w:pStyle w:val="ListParagraph"/>
        <w:numPr>
          <w:ilvl w:val="0"/>
          <w:numId w:val="5"/>
        </w:numPr>
      </w:pPr>
      <w:r w:rsidRPr="008E6C73">
        <w:t>Osteoporosis: Avoid TDF</w:t>
      </w:r>
    </w:p>
    <w:p w:rsidR="004558AC" w:rsidRPr="008E6C73" w:rsidRDefault="004558AC" w:rsidP="004558AC"/>
    <w:p w:rsidR="00142AC2" w:rsidRPr="008E6C73" w:rsidRDefault="004558AC" w:rsidP="004558AC">
      <w:pPr>
        <w:rPr>
          <w:b/>
        </w:rPr>
      </w:pPr>
      <w:r w:rsidRPr="008E6C73">
        <w:rPr>
          <w:b/>
        </w:rPr>
        <w:t xml:space="preserve">Quick Word about HIV Prophylaxis: </w:t>
      </w:r>
    </w:p>
    <w:p w:rsidR="00142AC2" w:rsidRPr="008E6C73" w:rsidRDefault="00142AC2" w:rsidP="00142AC2">
      <w:r w:rsidRPr="008E6C73">
        <w:rPr>
          <w:u w:val="single"/>
        </w:rPr>
        <w:t>Post-Exposure Prophylaxis</w:t>
      </w:r>
      <w:r w:rsidRPr="008E6C73">
        <w:t xml:space="preserve">: TDF-Emtricitabine + </w:t>
      </w:r>
      <w:r w:rsidR="004328B7">
        <w:t>R</w:t>
      </w:r>
      <w:r w:rsidRPr="008E6C73">
        <w:t>altegravir</w:t>
      </w:r>
    </w:p>
    <w:p w:rsidR="00142AC2" w:rsidRPr="008E6C73" w:rsidRDefault="00142AC2" w:rsidP="00142AC2">
      <w:pPr>
        <w:pStyle w:val="ListParagraph"/>
        <w:numPr>
          <w:ilvl w:val="0"/>
          <w:numId w:val="14"/>
        </w:numPr>
      </w:pPr>
      <w:r w:rsidRPr="008E6C73">
        <w:t xml:space="preserve"> Start as soon as feasible, latest within 72 hours</w:t>
      </w:r>
    </w:p>
    <w:p w:rsidR="00142AC2" w:rsidRPr="008E6C73" w:rsidRDefault="00142AC2" w:rsidP="00142AC2">
      <w:pPr>
        <w:pStyle w:val="ListParagraph"/>
        <w:numPr>
          <w:ilvl w:val="0"/>
          <w:numId w:val="14"/>
        </w:numPr>
      </w:pPr>
      <w:r w:rsidRPr="008E6C73">
        <w:t>Continue for 28 days with HIV testing at 6 and 12 weeks</w:t>
      </w:r>
    </w:p>
    <w:p w:rsidR="00142AC2" w:rsidRPr="008E6C73" w:rsidRDefault="00142AC2" w:rsidP="00142AC2">
      <w:pPr>
        <w:pStyle w:val="ListParagraph"/>
      </w:pPr>
    </w:p>
    <w:p w:rsidR="00142AC2" w:rsidRPr="008E6C73" w:rsidRDefault="00142AC2" w:rsidP="00142AC2">
      <w:r w:rsidRPr="008E6C73">
        <w:rPr>
          <w:u w:val="single"/>
        </w:rPr>
        <w:t>Pre-Exposure Prophylaxis</w:t>
      </w:r>
      <w:r w:rsidRPr="008E6C73">
        <w:t>: TDF-Emtricitabine (</w:t>
      </w:r>
      <w:r w:rsidRPr="008E6C73">
        <w:rPr>
          <w:i/>
        </w:rPr>
        <w:t>Truvada</w:t>
      </w:r>
      <w:r w:rsidRPr="008E6C73">
        <w:t>)</w:t>
      </w:r>
    </w:p>
    <w:p w:rsidR="00142AC2" w:rsidRPr="008E6C73" w:rsidRDefault="00142AC2" w:rsidP="00142AC2">
      <w:pPr>
        <w:pStyle w:val="ListParagraph"/>
        <w:numPr>
          <w:ilvl w:val="0"/>
          <w:numId w:val="14"/>
        </w:numPr>
      </w:pPr>
      <w:r w:rsidRPr="008E6C73">
        <w:t>Take daily for at least 7 days prior to exposure</w:t>
      </w:r>
    </w:p>
    <w:p w:rsidR="00371DBB" w:rsidRPr="008E6C73" w:rsidRDefault="00371DBB" w:rsidP="00A71F60">
      <w:pPr>
        <w:ind w:left="360"/>
        <w:sectPr w:rsidR="00371DBB" w:rsidRPr="008E6C73">
          <w:pgSz w:w="15840" w:h="12240" w:orient="landscape"/>
          <w:pgMar w:top="1800" w:right="1440" w:bottom="1800" w:left="1440" w:header="720" w:footer="720" w:gutter="0"/>
          <w:cols w:space="720"/>
        </w:sectPr>
      </w:pPr>
    </w:p>
    <w:p w:rsidR="009135B8" w:rsidRPr="008E6C73" w:rsidRDefault="009135B8" w:rsidP="009135B8">
      <w:pPr>
        <w:rPr>
          <w:b/>
        </w:rPr>
      </w:pPr>
      <w:r w:rsidRPr="008E6C73">
        <w:rPr>
          <w:b/>
        </w:rPr>
        <w:lastRenderedPageBreak/>
        <w:t xml:space="preserve">Important Opportunistic Infections: </w:t>
      </w:r>
    </w:p>
    <w:tbl>
      <w:tblPr>
        <w:tblStyle w:val="TableGrid"/>
        <w:tblW w:w="0" w:type="auto"/>
        <w:tblLook w:val="00A0" w:firstRow="1" w:lastRow="0" w:firstColumn="1" w:lastColumn="0" w:noHBand="0" w:noVBand="0"/>
      </w:tblPr>
      <w:tblGrid>
        <w:gridCol w:w="2666"/>
        <w:gridCol w:w="910"/>
        <w:gridCol w:w="4182"/>
        <w:gridCol w:w="2118"/>
        <w:gridCol w:w="3240"/>
      </w:tblGrid>
      <w:tr w:rsidR="00BF1FA4" w:rsidRPr="008E6C73" w:rsidTr="00CE0ECF">
        <w:tc>
          <w:tcPr>
            <w:tcW w:w="2666" w:type="dxa"/>
          </w:tcPr>
          <w:p w:rsidR="00BF1FA4" w:rsidRPr="008E6C73" w:rsidRDefault="00BF1FA4">
            <w:pPr>
              <w:rPr>
                <w:b/>
              </w:rPr>
            </w:pPr>
            <w:r w:rsidRPr="008E6C73">
              <w:rPr>
                <w:b/>
              </w:rPr>
              <w:t>Pathogen</w:t>
            </w:r>
          </w:p>
        </w:tc>
        <w:tc>
          <w:tcPr>
            <w:tcW w:w="910" w:type="dxa"/>
          </w:tcPr>
          <w:p w:rsidR="00BF1FA4" w:rsidRPr="008E6C73" w:rsidRDefault="00BF1FA4" w:rsidP="0025338F">
            <w:pPr>
              <w:rPr>
                <w:b/>
              </w:rPr>
            </w:pPr>
            <w:r w:rsidRPr="008E6C73">
              <w:rPr>
                <w:b/>
              </w:rPr>
              <w:t>CD4 Count</w:t>
            </w:r>
          </w:p>
        </w:tc>
        <w:tc>
          <w:tcPr>
            <w:tcW w:w="4182" w:type="dxa"/>
          </w:tcPr>
          <w:p w:rsidR="00BF1FA4" w:rsidRPr="008E6C73" w:rsidRDefault="00BF1FA4">
            <w:pPr>
              <w:rPr>
                <w:b/>
              </w:rPr>
            </w:pPr>
            <w:r w:rsidRPr="008E6C73">
              <w:rPr>
                <w:b/>
              </w:rPr>
              <w:t>Common Presentation</w:t>
            </w:r>
          </w:p>
        </w:tc>
        <w:tc>
          <w:tcPr>
            <w:tcW w:w="2118" w:type="dxa"/>
          </w:tcPr>
          <w:p w:rsidR="00BF1FA4" w:rsidRPr="008E6C73" w:rsidRDefault="00BF1FA4">
            <w:pPr>
              <w:rPr>
                <w:b/>
              </w:rPr>
            </w:pPr>
            <w:r w:rsidRPr="008E6C73">
              <w:rPr>
                <w:b/>
              </w:rPr>
              <w:t>Tests</w:t>
            </w:r>
          </w:p>
        </w:tc>
        <w:tc>
          <w:tcPr>
            <w:tcW w:w="3240" w:type="dxa"/>
          </w:tcPr>
          <w:p w:rsidR="00BF1FA4" w:rsidRPr="008E6C73" w:rsidRDefault="00BF1FA4">
            <w:pPr>
              <w:rPr>
                <w:b/>
              </w:rPr>
            </w:pPr>
            <w:r w:rsidRPr="008E6C73">
              <w:rPr>
                <w:b/>
              </w:rPr>
              <w:t>Prophylaxis/Treatment</w:t>
            </w:r>
          </w:p>
        </w:tc>
      </w:tr>
      <w:tr w:rsidR="00BF1FA4" w:rsidRPr="008E6C73" w:rsidTr="00CE0ECF">
        <w:tc>
          <w:tcPr>
            <w:tcW w:w="2666" w:type="dxa"/>
          </w:tcPr>
          <w:p w:rsidR="00BF1FA4" w:rsidRPr="00A71F60" w:rsidRDefault="00BF1FA4">
            <w:pPr>
              <w:rPr>
                <w:b/>
              </w:rPr>
            </w:pPr>
            <w:r w:rsidRPr="00A71F60">
              <w:rPr>
                <w:b/>
                <w:i/>
              </w:rPr>
              <w:t>Pneumocystis jirovecci</w:t>
            </w:r>
            <w:r w:rsidRPr="00A71F60">
              <w:rPr>
                <w:b/>
              </w:rPr>
              <w:t xml:space="preserve"> Pneumonia (PCP)</w:t>
            </w:r>
          </w:p>
        </w:tc>
        <w:tc>
          <w:tcPr>
            <w:tcW w:w="910" w:type="dxa"/>
          </w:tcPr>
          <w:p w:rsidR="00F00FC3" w:rsidRDefault="00BF1FA4">
            <w:r w:rsidRPr="008E6C73">
              <w:t xml:space="preserve">&lt;200 </w:t>
            </w:r>
          </w:p>
          <w:p w:rsidR="00BF1FA4" w:rsidRPr="008E6C73" w:rsidRDefault="00F00FC3">
            <w:r>
              <w:t>(or 13-14%)</w:t>
            </w:r>
          </w:p>
        </w:tc>
        <w:tc>
          <w:tcPr>
            <w:tcW w:w="4182" w:type="dxa"/>
          </w:tcPr>
          <w:p w:rsidR="00BF1FA4" w:rsidRPr="008E6C73" w:rsidRDefault="00BF1FA4">
            <w:r w:rsidRPr="008E6C73">
              <w:t xml:space="preserve">Dry Cough, Dyspnea on Exertion, Fever. Tends to have sub-acute course. </w:t>
            </w:r>
          </w:p>
          <w:p w:rsidR="00BF1FA4" w:rsidRPr="008E6C73" w:rsidRDefault="00BF1FA4"/>
          <w:p w:rsidR="00BF1FA4" w:rsidRPr="008E6C73" w:rsidRDefault="00284A85">
            <w:r>
              <w:t>CXR: Diffuse bilate</w:t>
            </w:r>
            <w:r w:rsidR="00A71F60">
              <w:t>r</w:t>
            </w:r>
            <w:r w:rsidR="00F00FC3">
              <w:t>a</w:t>
            </w:r>
            <w:r w:rsidR="00A71F60">
              <w:t>l</w:t>
            </w:r>
            <w:r w:rsidR="00BF1FA4" w:rsidRPr="008E6C73">
              <w:t xml:space="preserve"> infiltrates. </w:t>
            </w:r>
          </w:p>
          <w:p w:rsidR="00BF1FA4" w:rsidRPr="008E6C73" w:rsidRDefault="00BF1FA4"/>
          <w:p w:rsidR="00BF1FA4" w:rsidRPr="008E6C73" w:rsidRDefault="00BF1FA4">
            <w:r w:rsidRPr="008E6C73">
              <w:t>May lead to respiratory failure, pneumothorax, and death (still common cause of AIDS-related death)</w:t>
            </w:r>
          </w:p>
        </w:tc>
        <w:tc>
          <w:tcPr>
            <w:tcW w:w="2118" w:type="dxa"/>
          </w:tcPr>
          <w:p w:rsidR="00BF1FA4" w:rsidRPr="008E6C73" w:rsidRDefault="00BF1FA4">
            <w:r w:rsidRPr="008E6C73">
              <w:t>- PCP DFA (from Sputum or BAL)</w:t>
            </w:r>
          </w:p>
          <w:p w:rsidR="00BF1FA4" w:rsidRPr="008E6C73" w:rsidRDefault="00BF1FA4"/>
          <w:p w:rsidR="00BF1FA4" w:rsidRPr="008E6C73" w:rsidRDefault="00BF1FA4">
            <w:r w:rsidRPr="008E6C73">
              <w:t xml:space="preserve">- Cytopathology from BAL </w:t>
            </w:r>
          </w:p>
          <w:p w:rsidR="00BF1FA4" w:rsidRPr="008E6C73" w:rsidRDefault="00BF1FA4"/>
          <w:p w:rsidR="00BF1FA4" w:rsidRPr="008E6C73" w:rsidRDefault="00BF1FA4">
            <w:r w:rsidRPr="008E6C73">
              <w:t xml:space="preserve">- Elevated serum (1,3) B-D-Glucan </w:t>
            </w:r>
          </w:p>
        </w:tc>
        <w:tc>
          <w:tcPr>
            <w:tcW w:w="3240" w:type="dxa"/>
          </w:tcPr>
          <w:p w:rsidR="00BF1FA4" w:rsidRPr="008E6C73" w:rsidRDefault="00BF1FA4">
            <w:r w:rsidRPr="008E6C73">
              <w:t>PPx: Bactrim 160-800 daily</w:t>
            </w:r>
          </w:p>
          <w:p w:rsidR="00BF1FA4" w:rsidRPr="008E6C73" w:rsidRDefault="00BF1FA4">
            <w:r w:rsidRPr="008E6C73">
              <w:t>Alternate: Dapsone</w:t>
            </w:r>
            <w:r w:rsidR="00284A85">
              <w:t>, atovaquone</w:t>
            </w:r>
          </w:p>
          <w:p w:rsidR="00BF1FA4" w:rsidRPr="008E6C73" w:rsidRDefault="00BF1FA4"/>
          <w:p w:rsidR="00BF1FA4" w:rsidRPr="008E6C73" w:rsidRDefault="00BF1FA4">
            <w:r w:rsidRPr="008E6C73">
              <w:t xml:space="preserve">Tx: Bactrim x 21 days </w:t>
            </w:r>
          </w:p>
          <w:p w:rsidR="00BF1FA4" w:rsidRPr="008E6C73" w:rsidRDefault="00BF1FA4">
            <w:r w:rsidRPr="008E6C73">
              <w:t>Alternate: Atovaquone (mild); Clindamycin/</w:t>
            </w:r>
            <w:r w:rsidR="00DB259E" w:rsidRPr="008E6C73">
              <w:t xml:space="preserve"> </w:t>
            </w:r>
            <w:r w:rsidRPr="008E6C73">
              <w:t xml:space="preserve">primaquine (moderate); IV Pentamidine (severe. </w:t>
            </w:r>
          </w:p>
          <w:p w:rsidR="00BF1FA4" w:rsidRPr="008E6C73" w:rsidRDefault="00BF1FA4">
            <w:r w:rsidRPr="008E6C73">
              <w:t>+ Steroids for moderate – severe PCP (PaO2 &lt; 70 or A-A gradient &gt; 35)</w:t>
            </w:r>
          </w:p>
        </w:tc>
      </w:tr>
      <w:tr w:rsidR="00BF1FA4" w:rsidRPr="008E6C73" w:rsidTr="00CE0ECF">
        <w:tc>
          <w:tcPr>
            <w:tcW w:w="2666" w:type="dxa"/>
          </w:tcPr>
          <w:p w:rsidR="00BF1FA4" w:rsidRPr="00A71F60" w:rsidRDefault="00BF1FA4">
            <w:pPr>
              <w:rPr>
                <w:b/>
              </w:rPr>
            </w:pPr>
            <w:r w:rsidRPr="00A71F60">
              <w:rPr>
                <w:b/>
              </w:rPr>
              <w:t>Mycoacterium Avium Complex (MAC)</w:t>
            </w:r>
          </w:p>
          <w:p w:rsidR="00BF1FA4" w:rsidRPr="008E6C73" w:rsidRDefault="00BF1FA4"/>
          <w:p w:rsidR="00BF1FA4" w:rsidRPr="008E6C73" w:rsidRDefault="00BF1FA4" w:rsidP="00E61882">
            <w:r w:rsidRPr="008E6C73">
              <w:t>(</w:t>
            </w:r>
            <w:r w:rsidR="00E61882" w:rsidRPr="008E6C73">
              <w:t xml:space="preserve">MAC = </w:t>
            </w:r>
            <w:r w:rsidRPr="008E6C73">
              <w:t>water and soil mycobacteria)</w:t>
            </w:r>
          </w:p>
        </w:tc>
        <w:tc>
          <w:tcPr>
            <w:tcW w:w="910" w:type="dxa"/>
          </w:tcPr>
          <w:p w:rsidR="00BF1FA4" w:rsidRPr="008E6C73" w:rsidRDefault="008B1C0B">
            <w:r w:rsidRPr="008E6C73">
              <w:t>&lt;50</w:t>
            </w:r>
          </w:p>
        </w:tc>
        <w:tc>
          <w:tcPr>
            <w:tcW w:w="4182" w:type="dxa"/>
          </w:tcPr>
          <w:p w:rsidR="00BF1FA4" w:rsidRPr="008E6C73" w:rsidRDefault="00BF1FA4">
            <w:r w:rsidRPr="008E6C73">
              <w:t xml:space="preserve">Prolonged course of fever. Fatigue, weight loss, diarrhea. </w:t>
            </w:r>
          </w:p>
          <w:p w:rsidR="00BF1FA4" w:rsidRPr="008E6C73" w:rsidRDefault="00BF1FA4"/>
          <w:p w:rsidR="00BF1FA4" w:rsidRPr="008E6C73" w:rsidRDefault="00BF1FA4">
            <w:r w:rsidRPr="008E6C73">
              <w:t xml:space="preserve">Hepatosplenomegaly. </w:t>
            </w:r>
          </w:p>
        </w:tc>
        <w:tc>
          <w:tcPr>
            <w:tcW w:w="2118" w:type="dxa"/>
          </w:tcPr>
          <w:p w:rsidR="00BF1FA4" w:rsidRPr="008E6C73" w:rsidRDefault="00BF1FA4">
            <w:r w:rsidRPr="008E6C73">
              <w:t>Culture from a sterile site (eg: blood, bone marrow, lymph node)</w:t>
            </w:r>
          </w:p>
        </w:tc>
        <w:tc>
          <w:tcPr>
            <w:tcW w:w="3240" w:type="dxa"/>
          </w:tcPr>
          <w:p w:rsidR="00BF1FA4" w:rsidRPr="008E6C73" w:rsidRDefault="00BF1FA4">
            <w:r w:rsidRPr="008E6C73">
              <w:t>Ppx: Azithromycin 1200 mg weekly</w:t>
            </w:r>
          </w:p>
          <w:p w:rsidR="00BF1FA4" w:rsidRPr="008E6C73" w:rsidRDefault="00BF1FA4">
            <w:r w:rsidRPr="008E6C73">
              <w:t>Alternate: Clarithromycin</w:t>
            </w:r>
          </w:p>
          <w:p w:rsidR="00BF1FA4" w:rsidRPr="008E6C73" w:rsidRDefault="00BF1FA4"/>
          <w:p w:rsidR="00BF1FA4" w:rsidRPr="008E6C73" w:rsidRDefault="00A71F60">
            <w:r>
              <w:t>Tx: Ma</w:t>
            </w:r>
            <w:r w:rsidR="00BF1FA4" w:rsidRPr="008E6C73">
              <w:t xml:space="preserve">crolide + Ethambutol +/- Rifabutin </w:t>
            </w:r>
          </w:p>
        </w:tc>
      </w:tr>
      <w:tr w:rsidR="00BF1FA4" w:rsidRPr="008E6C73" w:rsidTr="00CE0ECF">
        <w:tc>
          <w:tcPr>
            <w:tcW w:w="2666" w:type="dxa"/>
          </w:tcPr>
          <w:p w:rsidR="00BF1FA4" w:rsidRPr="00A71F60" w:rsidRDefault="00BF1FA4">
            <w:pPr>
              <w:rPr>
                <w:b/>
                <w:i/>
              </w:rPr>
            </w:pPr>
            <w:r w:rsidRPr="00A71F60">
              <w:rPr>
                <w:b/>
                <w:i/>
              </w:rPr>
              <w:t xml:space="preserve">Toxoplasma gondii </w:t>
            </w:r>
          </w:p>
        </w:tc>
        <w:tc>
          <w:tcPr>
            <w:tcW w:w="910" w:type="dxa"/>
          </w:tcPr>
          <w:p w:rsidR="00BF1FA4" w:rsidRPr="008E6C73" w:rsidRDefault="008B1C0B">
            <w:r w:rsidRPr="008E6C73">
              <w:t>&lt;100</w:t>
            </w:r>
            <w:r w:rsidR="00BF1FA4" w:rsidRPr="008E6C73">
              <w:t xml:space="preserve"> </w:t>
            </w:r>
          </w:p>
        </w:tc>
        <w:tc>
          <w:tcPr>
            <w:tcW w:w="4182" w:type="dxa"/>
          </w:tcPr>
          <w:p w:rsidR="00DB259E" w:rsidRPr="008E6C73" w:rsidRDefault="00DB259E">
            <w:r w:rsidRPr="008E6C73">
              <w:t>Usually presents with signs of CNS disease (eg: encephalitis – headache/fever/confusion. May have seizures and/or altered mental status)</w:t>
            </w:r>
          </w:p>
          <w:p w:rsidR="00DB259E" w:rsidRPr="008E6C73" w:rsidRDefault="00DB259E"/>
          <w:p w:rsidR="00DB259E" w:rsidRPr="008E6C73" w:rsidRDefault="00DB259E">
            <w:r w:rsidRPr="008E6C73">
              <w:t xml:space="preserve">Posterior Uveitis </w:t>
            </w:r>
          </w:p>
          <w:p w:rsidR="00DB259E" w:rsidRPr="008E6C73" w:rsidRDefault="00DB259E"/>
          <w:p w:rsidR="00BF1FA4" w:rsidRPr="00CE0ECF" w:rsidRDefault="00DB259E">
            <w:pPr>
              <w:rPr>
                <w:sz w:val="22"/>
              </w:rPr>
            </w:pPr>
            <w:r w:rsidRPr="00CE0ECF">
              <w:rPr>
                <w:sz w:val="22"/>
              </w:rPr>
              <w:t>Pneumonitis</w:t>
            </w:r>
            <w:r w:rsidR="00284A85" w:rsidRPr="00CE0ECF">
              <w:rPr>
                <w:sz w:val="22"/>
              </w:rPr>
              <w:t xml:space="preserve"> (rare)</w:t>
            </w:r>
            <w:r w:rsidRPr="00CE0ECF">
              <w:rPr>
                <w:sz w:val="22"/>
              </w:rPr>
              <w:t>: fever/cough/dyspnea</w:t>
            </w:r>
          </w:p>
        </w:tc>
        <w:tc>
          <w:tcPr>
            <w:tcW w:w="2118" w:type="dxa"/>
          </w:tcPr>
          <w:p w:rsidR="00BF1FA4" w:rsidRPr="008E6C73" w:rsidRDefault="00E61882">
            <w:r w:rsidRPr="008E6C73">
              <w:t>Presumptive dx: compatible clinical syndrome, + T. gondii IgG Ab and classic imaging findings (multiple ring-enhancing lesions)</w:t>
            </w:r>
          </w:p>
        </w:tc>
        <w:tc>
          <w:tcPr>
            <w:tcW w:w="3240" w:type="dxa"/>
          </w:tcPr>
          <w:p w:rsidR="008B1C0B" w:rsidRPr="008E6C73" w:rsidRDefault="008B1C0B">
            <w:r w:rsidRPr="008E6C73">
              <w:t>PPx: Bactrim 160-800 daily</w:t>
            </w:r>
          </w:p>
          <w:p w:rsidR="008B1C0B" w:rsidRPr="008E6C73" w:rsidRDefault="008B1C0B"/>
          <w:p w:rsidR="008E6C73" w:rsidRPr="008E6C73" w:rsidRDefault="008B1C0B">
            <w:r w:rsidRPr="008E6C73">
              <w:t xml:space="preserve">Tx: </w:t>
            </w:r>
            <w:r w:rsidR="00F00FC3">
              <w:t>Bactrim</w:t>
            </w:r>
            <w:r w:rsidR="00284A85">
              <w:t>, sulfadiazine/pyramethamine</w:t>
            </w:r>
          </w:p>
          <w:p w:rsidR="00BF1FA4" w:rsidRPr="008E6C73" w:rsidRDefault="008E6C73" w:rsidP="00284A85">
            <w:r w:rsidRPr="008E6C73">
              <w:t>Alternate Tx: Regimens containing Atovaquone</w:t>
            </w:r>
            <w:r w:rsidR="00284A85">
              <w:t xml:space="preserve">,or Clindamycin </w:t>
            </w:r>
            <w:r w:rsidRPr="008E6C73">
              <w:t>instead of Sulfadiazine</w:t>
            </w:r>
          </w:p>
        </w:tc>
      </w:tr>
      <w:tr w:rsidR="00BF1FA4" w:rsidRPr="008E6C73" w:rsidTr="00CE0ECF">
        <w:tc>
          <w:tcPr>
            <w:tcW w:w="2666" w:type="dxa"/>
          </w:tcPr>
          <w:p w:rsidR="008B1C0B" w:rsidRPr="008E6C73" w:rsidRDefault="008B1C0B">
            <w:r w:rsidRPr="00A71F60">
              <w:rPr>
                <w:b/>
              </w:rPr>
              <w:lastRenderedPageBreak/>
              <w:t>Progressive Multifocal Leukoencephalopathy (PML)</w:t>
            </w:r>
            <w:r w:rsidR="000A7680">
              <w:t xml:space="preserve"> </w:t>
            </w:r>
          </w:p>
          <w:p w:rsidR="008B1C0B" w:rsidRPr="008E6C73" w:rsidRDefault="008B1C0B"/>
          <w:p w:rsidR="00BF1FA4" w:rsidRPr="008E6C73" w:rsidRDefault="008B1C0B">
            <w:r w:rsidRPr="008E6C73">
              <w:t>(JC virus – a human pa</w:t>
            </w:r>
            <w:r w:rsidR="00284A85">
              <w:t>p</w:t>
            </w:r>
            <w:r w:rsidRPr="008E6C73">
              <w:t>y</w:t>
            </w:r>
            <w:r w:rsidR="00284A85">
              <w:t>l</w:t>
            </w:r>
            <w:r w:rsidRPr="008E6C73">
              <w:t>omavirus – reactivates and infects oligodendrocytes and astrocytes)</w:t>
            </w:r>
          </w:p>
        </w:tc>
        <w:tc>
          <w:tcPr>
            <w:tcW w:w="910" w:type="dxa"/>
          </w:tcPr>
          <w:p w:rsidR="00BF1FA4" w:rsidRPr="008E6C73" w:rsidRDefault="008B1C0B">
            <w:r w:rsidRPr="008E6C73">
              <w:t xml:space="preserve">Mostly &lt; 150 </w:t>
            </w:r>
          </w:p>
        </w:tc>
        <w:tc>
          <w:tcPr>
            <w:tcW w:w="4182" w:type="dxa"/>
          </w:tcPr>
          <w:p w:rsidR="008B1C0B" w:rsidRPr="008E6C73" w:rsidRDefault="008B1C0B">
            <w:r w:rsidRPr="008E6C73">
              <w:t xml:space="preserve">Insidious progression (over weeks) of focal neurological deficits 2/2 patchy demyelinating process. </w:t>
            </w:r>
          </w:p>
          <w:p w:rsidR="008B1C0B" w:rsidRPr="008E6C73" w:rsidRDefault="008B1C0B"/>
          <w:p w:rsidR="008B1C0B" w:rsidRPr="008E6C73" w:rsidRDefault="008B1C0B" w:rsidP="008B1C0B">
            <w:pPr>
              <w:rPr>
                <w:szCs w:val="20"/>
              </w:rPr>
            </w:pPr>
            <w:r w:rsidRPr="008E6C73">
              <w:t xml:space="preserve">Symptoms may include: AMS, motor deficits, limb ataxia, gait ataxia, visual symptoms, seizures.  </w:t>
            </w:r>
          </w:p>
          <w:p w:rsidR="008B1C0B" w:rsidRPr="008E6C73" w:rsidRDefault="008B1C0B"/>
          <w:p w:rsidR="00BF1FA4" w:rsidRPr="008E6C73" w:rsidRDefault="00BF1FA4"/>
        </w:tc>
        <w:tc>
          <w:tcPr>
            <w:tcW w:w="2118" w:type="dxa"/>
          </w:tcPr>
          <w:p w:rsidR="008B1C0B" w:rsidRPr="008E6C73" w:rsidRDefault="008B1C0B" w:rsidP="008B1C0B">
            <w:pPr>
              <w:rPr>
                <w:color w:val="000000"/>
                <w:szCs w:val="22"/>
              </w:rPr>
            </w:pPr>
            <w:r w:rsidRPr="008E6C73">
              <w:t xml:space="preserve">Diagnosis made on clinical presentation and CT/MRI findings showing </w:t>
            </w:r>
            <w:r w:rsidRPr="008E6C73">
              <w:rPr>
                <w:color w:val="000000"/>
                <w:szCs w:val="22"/>
              </w:rPr>
              <w:t xml:space="preserve">multifocal areas of white matter demyelination </w:t>
            </w:r>
          </w:p>
          <w:p w:rsidR="008B1C0B" w:rsidRPr="008E6C73" w:rsidRDefault="008B1C0B" w:rsidP="008B1C0B">
            <w:pPr>
              <w:rPr>
                <w:color w:val="000000"/>
                <w:szCs w:val="22"/>
              </w:rPr>
            </w:pPr>
          </w:p>
          <w:p w:rsidR="008B1C0B" w:rsidRPr="008E6C73" w:rsidRDefault="008B1C0B" w:rsidP="008B1C0B">
            <w:pPr>
              <w:rPr>
                <w:color w:val="000000"/>
                <w:szCs w:val="22"/>
              </w:rPr>
            </w:pPr>
            <w:r w:rsidRPr="008E6C73">
              <w:rPr>
                <w:color w:val="000000"/>
                <w:szCs w:val="22"/>
              </w:rPr>
              <w:t>CSF + JC Virus</w:t>
            </w:r>
          </w:p>
          <w:p w:rsidR="008B1C0B" w:rsidRPr="008E6C73" w:rsidRDefault="008B1C0B" w:rsidP="008B1C0B">
            <w:pPr>
              <w:rPr>
                <w:color w:val="000000"/>
                <w:szCs w:val="22"/>
              </w:rPr>
            </w:pPr>
          </w:p>
          <w:p w:rsidR="008B1C0B" w:rsidRPr="008E6C73" w:rsidRDefault="008B1C0B" w:rsidP="008B1C0B">
            <w:pPr>
              <w:rPr>
                <w:szCs w:val="20"/>
              </w:rPr>
            </w:pPr>
            <w:r w:rsidRPr="008E6C73">
              <w:rPr>
                <w:color w:val="000000"/>
                <w:szCs w:val="22"/>
              </w:rPr>
              <w:t>Brain Biopsy = Gold Standard</w:t>
            </w:r>
          </w:p>
          <w:p w:rsidR="00BF1FA4" w:rsidRPr="008E6C73" w:rsidRDefault="00BF1FA4"/>
        </w:tc>
        <w:tc>
          <w:tcPr>
            <w:tcW w:w="3240" w:type="dxa"/>
          </w:tcPr>
          <w:p w:rsidR="008B1C0B" w:rsidRPr="008E6C73" w:rsidRDefault="008B1C0B">
            <w:r w:rsidRPr="008E6C73">
              <w:t>PPx: Antiretroviral therapy</w:t>
            </w:r>
          </w:p>
          <w:p w:rsidR="008B1C0B" w:rsidRPr="008E6C73" w:rsidRDefault="008B1C0B"/>
          <w:p w:rsidR="00BF1FA4" w:rsidRPr="00A71F60" w:rsidRDefault="008B1C0B" w:rsidP="000A7680">
            <w:pPr>
              <w:pStyle w:val="NormalWeb"/>
              <w:spacing w:beforeLines="0" w:afterLines="0"/>
              <w:textAlignment w:val="baseline"/>
              <w:rPr>
                <w:rFonts w:asciiTheme="minorHAnsi" w:hAnsiTheme="minorHAnsi"/>
                <w:color w:val="000000"/>
                <w:sz w:val="24"/>
                <w:szCs w:val="22"/>
              </w:rPr>
            </w:pPr>
            <w:r w:rsidRPr="008E6C73">
              <w:rPr>
                <w:rFonts w:asciiTheme="minorHAnsi" w:hAnsiTheme="minorHAnsi"/>
                <w:sz w:val="24"/>
              </w:rPr>
              <w:t xml:space="preserve">Tx: </w:t>
            </w:r>
            <w:r w:rsidRPr="008E6C73">
              <w:rPr>
                <w:rFonts w:asciiTheme="minorHAnsi" w:hAnsiTheme="minorHAnsi"/>
                <w:color w:val="000000"/>
                <w:sz w:val="24"/>
                <w:szCs w:val="22"/>
              </w:rPr>
              <w:t xml:space="preserve">There is no specific treatment for PML. The main strategy is restoring the host adaptive immune response which can prolong survival including </w:t>
            </w:r>
            <w:r w:rsidR="000A7680">
              <w:rPr>
                <w:rFonts w:asciiTheme="minorHAnsi" w:hAnsiTheme="minorHAnsi"/>
                <w:color w:val="000000"/>
                <w:sz w:val="24"/>
                <w:szCs w:val="22"/>
              </w:rPr>
              <w:t>starting/</w:t>
            </w:r>
            <w:r w:rsidRPr="008E6C73">
              <w:rPr>
                <w:rFonts w:asciiTheme="minorHAnsi" w:hAnsiTheme="minorHAnsi"/>
                <w:color w:val="000000"/>
                <w:sz w:val="24"/>
                <w:szCs w:val="22"/>
              </w:rPr>
              <w:t>o</w:t>
            </w:r>
            <w:r w:rsidR="000A7680">
              <w:rPr>
                <w:rFonts w:asciiTheme="minorHAnsi" w:hAnsiTheme="minorHAnsi"/>
                <w:color w:val="000000"/>
                <w:sz w:val="24"/>
                <w:szCs w:val="22"/>
              </w:rPr>
              <w:t>ptimizing ARVs</w:t>
            </w:r>
          </w:p>
        </w:tc>
      </w:tr>
      <w:tr w:rsidR="00B976FD" w:rsidRPr="008E6C73" w:rsidTr="00CE0ECF">
        <w:tc>
          <w:tcPr>
            <w:tcW w:w="2666" w:type="dxa"/>
          </w:tcPr>
          <w:p w:rsidR="00F510A7" w:rsidRDefault="00F510A7">
            <w:pPr>
              <w:rPr>
                <w:b/>
              </w:rPr>
            </w:pPr>
            <w:r>
              <w:rPr>
                <w:b/>
              </w:rPr>
              <w:t>Cryptococcal Mengingitis</w:t>
            </w:r>
          </w:p>
          <w:p w:rsidR="00F510A7" w:rsidRDefault="00F510A7">
            <w:pPr>
              <w:rPr>
                <w:b/>
              </w:rPr>
            </w:pPr>
          </w:p>
          <w:p w:rsidR="00B976FD" w:rsidRPr="00F510A7" w:rsidRDefault="00F510A7">
            <w:r>
              <w:t>(C</w:t>
            </w:r>
            <w:r w:rsidRPr="00F510A7">
              <w:t>aused by the fungus Cryptococcus neoformans)</w:t>
            </w:r>
          </w:p>
        </w:tc>
        <w:tc>
          <w:tcPr>
            <w:tcW w:w="910" w:type="dxa"/>
          </w:tcPr>
          <w:p w:rsidR="00B976FD" w:rsidRPr="008E6C73" w:rsidRDefault="00F510A7">
            <w:r>
              <w:t xml:space="preserve">&lt; 100 </w:t>
            </w:r>
          </w:p>
        </w:tc>
        <w:tc>
          <w:tcPr>
            <w:tcW w:w="4182" w:type="dxa"/>
          </w:tcPr>
          <w:p w:rsidR="00B976FD" w:rsidRPr="008E6C73" w:rsidRDefault="00F510A7">
            <w:r>
              <w:t>Symptoms of meningitis including headache, nausea/vomiting, fatigue, confusion, sensitivity to light, fever, stiff neck</w:t>
            </w:r>
          </w:p>
        </w:tc>
        <w:tc>
          <w:tcPr>
            <w:tcW w:w="2118" w:type="dxa"/>
          </w:tcPr>
          <w:p w:rsidR="00F510A7" w:rsidRDefault="00F510A7" w:rsidP="008B1C0B">
            <w:r>
              <w:t xml:space="preserve">The cryptococcal antigen may be detected in CSF or blood. </w:t>
            </w:r>
          </w:p>
          <w:p w:rsidR="00F510A7" w:rsidRDefault="00F510A7" w:rsidP="008B1C0B"/>
          <w:p w:rsidR="00B976FD" w:rsidRPr="008E6C73" w:rsidRDefault="00F510A7" w:rsidP="008B1C0B">
            <w:r>
              <w:t xml:space="preserve">LP is diagnostic </w:t>
            </w:r>
            <w:r w:rsidR="00346FA2">
              <w:t xml:space="preserve"> - elevated opening pressure, positive CSF crypt ag, CSF  fungal culture</w:t>
            </w:r>
          </w:p>
        </w:tc>
        <w:tc>
          <w:tcPr>
            <w:tcW w:w="3240" w:type="dxa"/>
          </w:tcPr>
          <w:p w:rsidR="00F510A7" w:rsidRDefault="00346FA2">
            <w:r>
              <w:t>Ppx: Not generally indicated</w:t>
            </w:r>
          </w:p>
          <w:p w:rsidR="00F510A7" w:rsidRDefault="00F510A7"/>
          <w:p w:rsidR="00B976FD" w:rsidRPr="008E6C73" w:rsidRDefault="00F510A7">
            <w:r>
              <w:t>Tx: Amphotericin B plus flucytosine followed by prolonged course of fluconazole</w:t>
            </w:r>
          </w:p>
        </w:tc>
      </w:tr>
      <w:tr w:rsidR="00F510A7" w:rsidRPr="008E6C73" w:rsidTr="00CE0ECF">
        <w:tc>
          <w:tcPr>
            <w:tcW w:w="2666" w:type="dxa"/>
          </w:tcPr>
          <w:p w:rsidR="00CE0ECF" w:rsidRDefault="00F510A7">
            <w:pPr>
              <w:rPr>
                <w:b/>
              </w:rPr>
            </w:pPr>
            <w:r>
              <w:rPr>
                <w:b/>
              </w:rPr>
              <w:t>Kaposi Sarcoma</w:t>
            </w:r>
          </w:p>
          <w:p w:rsidR="00F510A7" w:rsidRPr="00CE0ECF" w:rsidRDefault="00F510A7">
            <w:pPr>
              <w:rPr>
                <w:b/>
              </w:rPr>
            </w:pPr>
            <w:r w:rsidRPr="00F510A7">
              <w:t>(Vascular tumor associated with human herpesvirus 8)</w:t>
            </w:r>
          </w:p>
          <w:p w:rsidR="00F510A7" w:rsidRDefault="00F510A7">
            <w:pPr>
              <w:rPr>
                <w:b/>
              </w:rPr>
            </w:pPr>
          </w:p>
        </w:tc>
        <w:tc>
          <w:tcPr>
            <w:tcW w:w="910" w:type="dxa"/>
          </w:tcPr>
          <w:p w:rsidR="00F510A7" w:rsidRDefault="00F510A7">
            <w:r>
              <w:t xml:space="preserve">&lt; 200 </w:t>
            </w:r>
          </w:p>
        </w:tc>
        <w:tc>
          <w:tcPr>
            <w:tcW w:w="4182" w:type="dxa"/>
          </w:tcPr>
          <w:p w:rsidR="00F510A7" w:rsidRDefault="00F510A7">
            <w:r>
              <w:t>Purple colored skin lesions (may occur on the mucosal surfaces where they can’t be visualized from the outside)</w:t>
            </w:r>
          </w:p>
        </w:tc>
        <w:tc>
          <w:tcPr>
            <w:tcW w:w="2118" w:type="dxa"/>
          </w:tcPr>
          <w:p w:rsidR="00F510A7" w:rsidRDefault="00F510A7" w:rsidP="008B1C0B">
            <w:r>
              <w:t>Biopsy</w:t>
            </w:r>
          </w:p>
        </w:tc>
        <w:tc>
          <w:tcPr>
            <w:tcW w:w="3240" w:type="dxa"/>
          </w:tcPr>
          <w:p w:rsidR="00F510A7" w:rsidRDefault="00F510A7">
            <w:r>
              <w:t>ART</w:t>
            </w:r>
          </w:p>
          <w:p w:rsidR="00F510A7" w:rsidRDefault="00F510A7">
            <w:r>
              <w:t xml:space="preserve">+ Local or systemic therapy depending on the extent of the disease </w:t>
            </w:r>
          </w:p>
        </w:tc>
      </w:tr>
    </w:tbl>
    <w:p w:rsidR="00483A75" w:rsidRPr="00371DBB" w:rsidRDefault="00483A75"/>
    <w:sectPr w:rsidR="00483A75" w:rsidRPr="00371DBB" w:rsidSect="008E6C73">
      <w:pgSz w:w="15840" w:h="12240" w:orient="landscape"/>
      <w:pgMar w:top="1800" w:right="1440" w:bottom="180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5A9" w:rsidRDefault="00B955A9">
      <w:r>
        <w:separator/>
      </w:r>
    </w:p>
  </w:endnote>
  <w:endnote w:type="continuationSeparator" w:id="0">
    <w:p w:rsidR="00B955A9" w:rsidRDefault="00B9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955" w:rsidRDefault="003415E7" w:rsidP="00E61882">
    <w:pPr>
      <w:pStyle w:val="Footer"/>
      <w:framePr w:wrap="around" w:vAnchor="text" w:hAnchor="margin" w:xAlign="center" w:y="1"/>
      <w:rPr>
        <w:rStyle w:val="PageNumber"/>
      </w:rPr>
    </w:pPr>
    <w:r>
      <w:rPr>
        <w:rStyle w:val="PageNumber"/>
      </w:rPr>
      <w:fldChar w:fldCharType="begin"/>
    </w:r>
    <w:r w:rsidR="00311955">
      <w:rPr>
        <w:rStyle w:val="PageNumber"/>
      </w:rPr>
      <w:instrText xml:space="preserve">PAGE  </w:instrText>
    </w:r>
    <w:r>
      <w:rPr>
        <w:rStyle w:val="PageNumber"/>
      </w:rPr>
      <w:fldChar w:fldCharType="end"/>
    </w:r>
  </w:p>
  <w:p w:rsidR="00311955" w:rsidRDefault="003119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955" w:rsidRDefault="003415E7" w:rsidP="00E61882">
    <w:pPr>
      <w:pStyle w:val="Footer"/>
      <w:framePr w:wrap="around" w:vAnchor="text" w:hAnchor="margin" w:xAlign="center" w:y="1"/>
      <w:rPr>
        <w:rStyle w:val="PageNumber"/>
      </w:rPr>
    </w:pPr>
    <w:r>
      <w:rPr>
        <w:rStyle w:val="PageNumber"/>
      </w:rPr>
      <w:fldChar w:fldCharType="begin"/>
    </w:r>
    <w:r w:rsidR="00311955">
      <w:rPr>
        <w:rStyle w:val="PageNumber"/>
      </w:rPr>
      <w:instrText xml:space="preserve">PAGE  </w:instrText>
    </w:r>
    <w:r>
      <w:rPr>
        <w:rStyle w:val="PageNumber"/>
      </w:rPr>
      <w:fldChar w:fldCharType="separate"/>
    </w:r>
    <w:r w:rsidR="00F54585">
      <w:rPr>
        <w:rStyle w:val="PageNumber"/>
        <w:noProof/>
      </w:rPr>
      <w:t>2</w:t>
    </w:r>
    <w:r>
      <w:rPr>
        <w:rStyle w:val="PageNumber"/>
      </w:rPr>
      <w:fldChar w:fldCharType="end"/>
    </w:r>
  </w:p>
  <w:p w:rsidR="00311955" w:rsidRDefault="003119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5A9" w:rsidRDefault="00B955A9">
      <w:r>
        <w:separator/>
      </w:r>
    </w:p>
  </w:footnote>
  <w:footnote w:type="continuationSeparator" w:id="0">
    <w:p w:rsidR="00B955A9" w:rsidRDefault="00B955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800D5"/>
    <w:multiLevelType w:val="hybridMultilevel"/>
    <w:tmpl w:val="0F0EEE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C1B05"/>
    <w:multiLevelType w:val="hybridMultilevel"/>
    <w:tmpl w:val="A2BC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14AC0"/>
    <w:multiLevelType w:val="hybridMultilevel"/>
    <w:tmpl w:val="E03295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A703E5"/>
    <w:multiLevelType w:val="hybridMultilevel"/>
    <w:tmpl w:val="41C44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260C97"/>
    <w:multiLevelType w:val="hybridMultilevel"/>
    <w:tmpl w:val="839695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8E20AE"/>
    <w:multiLevelType w:val="multilevel"/>
    <w:tmpl w:val="EC725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527FB6"/>
    <w:multiLevelType w:val="hybridMultilevel"/>
    <w:tmpl w:val="804AFE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8B6948"/>
    <w:multiLevelType w:val="hybridMultilevel"/>
    <w:tmpl w:val="8F74ED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4D33AE7"/>
    <w:multiLevelType w:val="hybridMultilevel"/>
    <w:tmpl w:val="BF7CAF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9863F8"/>
    <w:multiLevelType w:val="multilevel"/>
    <w:tmpl w:val="FAA0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835F48"/>
    <w:multiLevelType w:val="hybridMultilevel"/>
    <w:tmpl w:val="190427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BF1E13"/>
    <w:multiLevelType w:val="hybridMultilevel"/>
    <w:tmpl w:val="D8584C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E45F02"/>
    <w:multiLevelType w:val="multilevel"/>
    <w:tmpl w:val="2B40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F57F05"/>
    <w:multiLevelType w:val="hybridMultilevel"/>
    <w:tmpl w:val="942A84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5E1ED3"/>
    <w:multiLevelType w:val="multilevel"/>
    <w:tmpl w:val="70D06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8D7321"/>
    <w:multiLevelType w:val="hybridMultilevel"/>
    <w:tmpl w:val="F0C458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BD33AD"/>
    <w:multiLevelType w:val="multilevel"/>
    <w:tmpl w:val="6C9E5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4C7970"/>
    <w:multiLevelType w:val="multilevel"/>
    <w:tmpl w:val="3D348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8"/>
  </w:num>
  <w:num w:numId="4">
    <w:abstractNumId w:val="6"/>
  </w:num>
  <w:num w:numId="5">
    <w:abstractNumId w:val="2"/>
  </w:num>
  <w:num w:numId="6">
    <w:abstractNumId w:val="11"/>
  </w:num>
  <w:num w:numId="7">
    <w:abstractNumId w:val="9"/>
  </w:num>
  <w:num w:numId="8">
    <w:abstractNumId w:val="5"/>
  </w:num>
  <w:num w:numId="9">
    <w:abstractNumId w:val="5"/>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0">
    <w:abstractNumId w:val="15"/>
  </w:num>
  <w:num w:numId="11">
    <w:abstractNumId w:val="1"/>
  </w:num>
  <w:num w:numId="12">
    <w:abstractNumId w:val="0"/>
  </w:num>
  <w:num w:numId="13">
    <w:abstractNumId w:val="10"/>
  </w:num>
  <w:num w:numId="14">
    <w:abstractNumId w:val="4"/>
  </w:num>
  <w:num w:numId="15">
    <w:abstractNumId w:val="13"/>
  </w:num>
  <w:num w:numId="16">
    <w:abstractNumId w:val="14"/>
  </w:num>
  <w:num w:numId="17">
    <w:abstractNumId w:val="14"/>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8">
    <w:abstractNumId w:val="12"/>
  </w:num>
  <w:num w:numId="19">
    <w:abstractNumId w:val="17"/>
    <w:lvlOverride w:ilvl="0">
      <w:lvl w:ilvl="0">
        <w:numFmt w:val="decimal"/>
        <w:lvlText w:val=""/>
        <w:lvlJc w:val="left"/>
      </w:lvl>
    </w:lvlOverride>
    <w:lvlOverride w:ilvl="1">
      <w:lvl w:ilvl="1">
        <w:numFmt w:val="decimal"/>
        <w:lvlText w:val=""/>
        <w:lvlJc w:val="left"/>
      </w:lvl>
    </w:lvlOverride>
    <w:lvlOverride w:ilvl="2">
      <w:lvl w:ilvl="2">
        <w:numFmt w:val="bullet"/>
        <w:lvlText w:val=""/>
        <w:lvlJc w:val="left"/>
        <w:pPr>
          <w:tabs>
            <w:tab w:val="num" w:pos="2160"/>
          </w:tabs>
          <w:ind w:left="2160" w:hanging="360"/>
        </w:pPr>
        <w:rPr>
          <w:rFonts w:ascii="Symbol" w:hAnsi="Symbol" w:hint="default"/>
          <w:sz w:val="20"/>
        </w:rPr>
      </w:lvl>
    </w:lvlOverride>
  </w:num>
  <w:num w:numId="20">
    <w:abstractNumId w:val="16"/>
  </w:num>
  <w:num w:numId="21">
    <w:abstractNumId w:val="16"/>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A75"/>
    <w:rsid w:val="0002337E"/>
    <w:rsid w:val="000A7680"/>
    <w:rsid w:val="000B2179"/>
    <w:rsid w:val="000C402A"/>
    <w:rsid w:val="00142AC2"/>
    <w:rsid w:val="00177597"/>
    <w:rsid w:val="0025338F"/>
    <w:rsid w:val="00281E54"/>
    <w:rsid w:val="00284A85"/>
    <w:rsid w:val="00293C14"/>
    <w:rsid w:val="00311955"/>
    <w:rsid w:val="003415E7"/>
    <w:rsid w:val="00346FA2"/>
    <w:rsid w:val="00363183"/>
    <w:rsid w:val="00371DBB"/>
    <w:rsid w:val="003A4F4E"/>
    <w:rsid w:val="003B1A4E"/>
    <w:rsid w:val="004328B7"/>
    <w:rsid w:val="00447727"/>
    <w:rsid w:val="004558AC"/>
    <w:rsid w:val="00483A75"/>
    <w:rsid w:val="004A54B0"/>
    <w:rsid w:val="004F6FBF"/>
    <w:rsid w:val="00531065"/>
    <w:rsid w:val="006C6B45"/>
    <w:rsid w:val="006F445D"/>
    <w:rsid w:val="007F7D4F"/>
    <w:rsid w:val="008665F5"/>
    <w:rsid w:val="0087058D"/>
    <w:rsid w:val="008A66AA"/>
    <w:rsid w:val="008B1C0B"/>
    <w:rsid w:val="008E6C73"/>
    <w:rsid w:val="008F2624"/>
    <w:rsid w:val="009135B8"/>
    <w:rsid w:val="00923943"/>
    <w:rsid w:val="009B75E6"/>
    <w:rsid w:val="00A47E07"/>
    <w:rsid w:val="00A71F60"/>
    <w:rsid w:val="00B955A9"/>
    <w:rsid w:val="00B976FD"/>
    <w:rsid w:val="00B97D2D"/>
    <w:rsid w:val="00BF0AF9"/>
    <w:rsid w:val="00BF1FA4"/>
    <w:rsid w:val="00CA7834"/>
    <w:rsid w:val="00CD204D"/>
    <w:rsid w:val="00CE0ECF"/>
    <w:rsid w:val="00CF148C"/>
    <w:rsid w:val="00D3017D"/>
    <w:rsid w:val="00D73106"/>
    <w:rsid w:val="00DB259E"/>
    <w:rsid w:val="00E530B9"/>
    <w:rsid w:val="00E61882"/>
    <w:rsid w:val="00EE572D"/>
    <w:rsid w:val="00F00FC3"/>
    <w:rsid w:val="00F42D35"/>
    <w:rsid w:val="00F510A7"/>
    <w:rsid w:val="00F5458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d0d0d0"/>
    </o:shapedefaults>
    <o:shapelayout v:ext="edit">
      <o:idmap v:ext="edit" data="1"/>
    </o:shapelayout>
  </w:shapeDefaults>
  <w:decimalSymbol w:val="."/>
  <w:listSeparator w:val=","/>
  <w14:docId w14:val="19136E69"/>
  <w15:docId w15:val="{E0479836-D09F-4BDE-BF9E-F3CFFBE15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3A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42D35"/>
    <w:pPr>
      <w:ind w:left="720"/>
      <w:contextualSpacing/>
    </w:pPr>
  </w:style>
  <w:style w:type="paragraph" w:styleId="NormalWeb">
    <w:name w:val="Normal (Web)"/>
    <w:basedOn w:val="Normal"/>
    <w:uiPriority w:val="99"/>
    <w:rsid w:val="00371DBB"/>
    <w:pPr>
      <w:spacing w:beforeLines="1" w:afterLines="1"/>
    </w:pPr>
    <w:rPr>
      <w:rFonts w:ascii="Times" w:hAnsi="Times" w:cs="Times New Roman"/>
      <w:sz w:val="20"/>
      <w:szCs w:val="20"/>
    </w:rPr>
  </w:style>
  <w:style w:type="character" w:styleId="Hyperlink">
    <w:name w:val="Hyperlink"/>
    <w:basedOn w:val="DefaultParagraphFont"/>
    <w:uiPriority w:val="99"/>
    <w:rsid w:val="008B1C0B"/>
    <w:rPr>
      <w:color w:val="0000FF"/>
      <w:u w:val="single"/>
    </w:rPr>
  </w:style>
  <w:style w:type="paragraph" w:styleId="Footer">
    <w:name w:val="footer"/>
    <w:basedOn w:val="Normal"/>
    <w:link w:val="FooterChar"/>
    <w:uiPriority w:val="99"/>
    <w:unhideWhenUsed/>
    <w:rsid w:val="00DB259E"/>
    <w:pPr>
      <w:tabs>
        <w:tab w:val="center" w:pos="4320"/>
        <w:tab w:val="right" w:pos="8640"/>
      </w:tabs>
    </w:pPr>
  </w:style>
  <w:style w:type="character" w:customStyle="1" w:styleId="FooterChar">
    <w:name w:val="Footer Char"/>
    <w:basedOn w:val="DefaultParagraphFont"/>
    <w:link w:val="Footer"/>
    <w:uiPriority w:val="99"/>
    <w:rsid w:val="00DB259E"/>
  </w:style>
  <w:style w:type="character" w:styleId="PageNumber">
    <w:name w:val="page number"/>
    <w:basedOn w:val="DefaultParagraphFont"/>
    <w:uiPriority w:val="99"/>
    <w:semiHidden/>
    <w:unhideWhenUsed/>
    <w:rsid w:val="00DB259E"/>
  </w:style>
  <w:style w:type="paragraph" w:styleId="BalloonText">
    <w:name w:val="Balloon Text"/>
    <w:basedOn w:val="Normal"/>
    <w:link w:val="BalloonTextChar"/>
    <w:uiPriority w:val="99"/>
    <w:semiHidden/>
    <w:unhideWhenUsed/>
    <w:rsid w:val="00311955"/>
    <w:rPr>
      <w:rFonts w:ascii="Lucida Grande" w:hAnsi="Lucida Grande"/>
      <w:sz w:val="18"/>
      <w:szCs w:val="18"/>
    </w:rPr>
  </w:style>
  <w:style w:type="character" w:customStyle="1" w:styleId="BalloonTextChar">
    <w:name w:val="Balloon Text Char"/>
    <w:basedOn w:val="DefaultParagraphFont"/>
    <w:link w:val="BalloonText"/>
    <w:uiPriority w:val="99"/>
    <w:semiHidden/>
    <w:rsid w:val="0031195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2489096">
      <w:bodyDiv w:val="1"/>
      <w:marLeft w:val="0"/>
      <w:marRight w:val="0"/>
      <w:marTop w:val="0"/>
      <w:marBottom w:val="0"/>
      <w:divBdr>
        <w:top w:val="none" w:sz="0" w:space="0" w:color="auto"/>
        <w:left w:val="none" w:sz="0" w:space="0" w:color="auto"/>
        <w:bottom w:val="none" w:sz="0" w:space="0" w:color="auto"/>
        <w:right w:val="none" w:sz="0" w:space="0" w:color="auto"/>
      </w:divBdr>
    </w:div>
    <w:div w:id="1171527233">
      <w:bodyDiv w:val="1"/>
      <w:marLeft w:val="0"/>
      <w:marRight w:val="0"/>
      <w:marTop w:val="0"/>
      <w:marBottom w:val="0"/>
      <w:divBdr>
        <w:top w:val="none" w:sz="0" w:space="0" w:color="auto"/>
        <w:left w:val="none" w:sz="0" w:space="0" w:color="auto"/>
        <w:bottom w:val="none" w:sz="0" w:space="0" w:color="auto"/>
        <w:right w:val="none" w:sz="0" w:space="0" w:color="auto"/>
      </w:divBdr>
    </w:div>
    <w:div w:id="1494299014">
      <w:bodyDiv w:val="1"/>
      <w:marLeft w:val="0"/>
      <w:marRight w:val="0"/>
      <w:marTop w:val="0"/>
      <w:marBottom w:val="0"/>
      <w:divBdr>
        <w:top w:val="none" w:sz="0" w:space="0" w:color="auto"/>
        <w:left w:val="none" w:sz="0" w:space="0" w:color="auto"/>
        <w:bottom w:val="none" w:sz="0" w:space="0" w:color="auto"/>
        <w:right w:val="none" w:sz="0" w:space="0" w:color="auto"/>
      </w:divBdr>
    </w:div>
    <w:div w:id="1520200127">
      <w:bodyDiv w:val="1"/>
      <w:marLeft w:val="0"/>
      <w:marRight w:val="0"/>
      <w:marTop w:val="0"/>
      <w:marBottom w:val="0"/>
      <w:divBdr>
        <w:top w:val="none" w:sz="0" w:space="0" w:color="auto"/>
        <w:left w:val="none" w:sz="0" w:space="0" w:color="auto"/>
        <w:bottom w:val="none" w:sz="0" w:space="0" w:color="auto"/>
        <w:right w:val="none" w:sz="0" w:space="0" w:color="auto"/>
      </w:divBdr>
    </w:div>
    <w:div w:id="2073574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ckmartinappointments@mountsinai.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GVadmin@mountsinai.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428BF-AE4E-408B-A0B2-2EB424416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1805</Words>
  <Characters>10295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Bressman, Eric</dc:creator>
  <cp:lastModifiedBy>Bressman, Eric</cp:lastModifiedBy>
  <cp:revision>2</cp:revision>
  <dcterms:created xsi:type="dcterms:W3CDTF">2020-03-09T15:02:00Z</dcterms:created>
  <dcterms:modified xsi:type="dcterms:W3CDTF">2020-03-09T15:02:00Z</dcterms:modified>
</cp:coreProperties>
</file>